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9D10" w14:textId="77777777" w:rsidR="001F6D26" w:rsidRPr="0028010E" w:rsidRDefault="001F6D26" w:rsidP="001F6D26">
      <w:pPr>
        <w:spacing w:before="240" w:after="240"/>
        <w:jc w:val="both"/>
        <w:rPr>
          <w:rFonts w:ascii="Times New Roman" w:eastAsia="Times New Roman" w:hAnsi="Times New Roman" w:cs="Times New Roman"/>
          <w:b/>
          <w:sz w:val="24"/>
          <w:szCs w:val="24"/>
        </w:rPr>
      </w:pPr>
    </w:p>
    <w:p w14:paraId="23433793" w14:textId="61363D42" w:rsidR="001F6D26" w:rsidRPr="0028010E" w:rsidRDefault="001F6D26" w:rsidP="001F6D26">
      <w:pPr>
        <w:spacing w:line="240" w:lineRule="auto"/>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Doctor</w:t>
      </w:r>
    </w:p>
    <w:p w14:paraId="64B7B4D4" w14:textId="78D8E65D" w:rsidR="001F6D26" w:rsidRPr="0028010E" w:rsidRDefault="001F6D26" w:rsidP="001F6D26">
      <w:pPr>
        <w:spacing w:line="240" w:lineRule="auto"/>
        <w:rPr>
          <w:rFonts w:ascii="Times New Roman" w:eastAsia="Times New Roman" w:hAnsi="Times New Roman" w:cs="Times New Roman"/>
          <w:b/>
          <w:sz w:val="26"/>
          <w:szCs w:val="26"/>
        </w:rPr>
      </w:pPr>
      <w:r w:rsidRPr="0028010E">
        <w:rPr>
          <w:rFonts w:ascii="Times New Roman" w:eastAsia="Times New Roman" w:hAnsi="Times New Roman" w:cs="Times New Roman"/>
          <w:b/>
          <w:sz w:val="26"/>
          <w:szCs w:val="26"/>
        </w:rPr>
        <w:t>JAIME LUIS LACOUTURE PEÑALOZA</w:t>
      </w:r>
    </w:p>
    <w:p w14:paraId="76A10C38" w14:textId="340A7260" w:rsidR="001F6D26" w:rsidRPr="0028010E" w:rsidRDefault="001F6D26" w:rsidP="001F6D26">
      <w:pPr>
        <w:spacing w:line="240" w:lineRule="auto"/>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Secretario General</w:t>
      </w:r>
    </w:p>
    <w:p w14:paraId="1B5EAD11" w14:textId="1D362478" w:rsidR="001F6D26" w:rsidRPr="0028010E" w:rsidRDefault="001F6D26" w:rsidP="001F6D26">
      <w:pPr>
        <w:spacing w:line="240" w:lineRule="auto"/>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Cámara de Representantes</w:t>
      </w:r>
    </w:p>
    <w:p w14:paraId="1A222E3C" w14:textId="48A3E1BB" w:rsidR="001F6D26" w:rsidRPr="0028010E" w:rsidRDefault="001F6D26" w:rsidP="001F6D26">
      <w:pPr>
        <w:spacing w:line="240" w:lineRule="auto"/>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C</w:t>
      </w:r>
      <w:r w:rsidRPr="0028010E">
        <w:rPr>
          <w:rFonts w:ascii="Times New Roman" w:eastAsia="Times New Roman" w:hAnsi="Times New Roman" w:cs="Times New Roman"/>
          <w:sz w:val="26"/>
          <w:szCs w:val="26"/>
        </w:rPr>
        <w:t>ongreso de la República de Colombia</w:t>
      </w:r>
    </w:p>
    <w:p w14:paraId="2C546B18" w14:textId="77777777" w:rsidR="001F6D26" w:rsidRPr="0028010E" w:rsidRDefault="001F6D26" w:rsidP="001F6D26">
      <w:pPr>
        <w:spacing w:line="240" w:lineRule="auto"/>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Ciudad</w:t>
      </w:r>
    </w:p>
    <w:p w14:paraId="3D9D5382" w14:textId="77777777" w:rsidR="001F6D26" w:rsidRPr="0028010E" w:rsidRDefault="001F6D26" w:rsidP="001F6D26">
      <w:pPr>
        <w:spacing w:before="240" w:after="240"/>
        <w:rPr>
          <w:rFonts w:ascii="Times New Roman" w:eastAsia="Times New Roman" w:hAnsi="Times New Roman" w:cs="Times New Roman"/>
          <w:b/>
          <w:sz w:val="26"/>
          <w:szCs w:val="26"/>
        </w:rPr>
      </w:pPr>
    </w:p>
    <w:p w14:paraId="57996942" w14:textId="77777777" w:rsidR="001F6D26" w:rsidRPr="0028010E" w:rsidRDefault="001F6D26" w:rsidP="001F6D26">
      <w:pPr>
        <w:spacing w:before="240" w:after="240"/>
        <w:jc w:val="right"/>
        <w:rPr>
          <w:rFonts w:ascii="Times New Roman" w:eastAsia="Times New Roman" w:hAnsi="Times New Roman" w:cs="Times New Roman"/>
          <w:sz w:val="26"/>
          <w:szCs w:val="26"/>
        </w:rPr>
      </w:pPr>
      <w:r w:rsidRPr="0028010E">
        <w:rPr>
          <w:rFonts w:ascii="Times New Roman" w:eastAsia="Times New Roman" w:hAnsi="Times New Roman" w:cs="Times New Roman"/>
          <w:b/>
          <w:sz w:val="26"/>
          <w:szCs w:val="26"/>
        </w:rPr>
        <w:t xml:space="preserve">Asunto: </w:t>
      </w:r>
      <w:r w:rsidRPr="0028010E">
        <w:rPr>
          <w:rFonts w:ascii="Times New Roman" w:eastAsia="Times New Roman" w:hAnsi="Times New Roman" w:cs="Times New Roman"/>
          <w:sz w:val="26"/>
          <w:szCs w:val="26"/>
        </w:rPr>
        <w:t>Concepto al Proyecto de Acto Legislativo No. 002 de 2022 Cámara - Regulación del Cannabis para uso adulto</w:t>
      </w:r>
    </w:p>
    <w:p w14:paraId="3367EA4F" w14:textId="77777777" w:rsidR="001F6D26" w:rsidRPr="0028010E" w:rsidRDefault="001F6D26" w:rsidP="001F6D26">
      <w:pPr>
        <w:spacing w:before="240" w:after="240"/>
        <w:jc w:val="right"/>
        <w:rPr>
          <w:rFonts w:ascii="Times New Roman" w:eastAsia="Times New Roman" w:hAnsi="Times New Roman" w:cs="Times New Roman"/>
          <w:sz w:val="26"/>
          <w:szCs w:val="26"/>
        </w:rPr>
      </w:pPr>
    </w:p>
    <w:p w14:paraId="3494B0AB" w14:textId="52178E03" w:rsidR="001F6D26" w:rsidRPr="0028010E" w:rsidRDefault="001F6D26" w:rsidP="0028010E">
      <w:pPr>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Apreciado Dr. Lacouture,</w:t>
      </w:r>
    </w:p>
    <w:p w14:paraId="474A4D0A" w14:textId="77777777" w:rsidR="001F6D26" w:rsidRPr="0028010E" w:rsidRDefault="001F6D26" w:rsidP="001F6D26">
      <w:pPr>
        <w:spacing w:before="240" w:after="240"/>
        <w:jc w:val="both"/>
        <w:rPr>
          <w:rFonts w:ascii="Times New Roman" w:eastAsia="Times New Roman" w:hAnsi="Times New Roman" w:cs="Times New Roman"/>
          <w:sz w:val="26"/>
          <w:szCs w:val="26"/>
        </w:rPr>
      </w:pPr>
      <w:r w:rsidRPr="0028010E">
        <w:rPr>
          <w:rFonts w:ascii="Times New Roman" w:eastAsia="Times New Roman" w:hAnsi="Times New Roman" w:cs="Times New Roman"/>
          <w:sz w:val="26"/>
          <w:szCs w:val="26"/>
        </w:rPr>
        <w:t xml:space="preserve">De manera atenta, y como organización de la sociedad civil que trabaja temas relacionados con derechos humanos y política de drogas, procedemos a dar concepto de parte de Elementa DDHH, al proyecto de Acto Legislativo No. 002 de 2022 Cámara </w:t>
      </w:r>
      <w:r w:rsidRPr="0028010E">
        <w:rPr>
          <w:rFonts w:ascii="Times New Roman" w:eastAsia="Times New Roman" w:hAnsi="Times New Roman" w:cs="Times New Roman"/>
          <w:i/>
          <w:sz w:val="26"/>
          <w:szCs w:val="26"/>
        </w:rPr>
        <w:t>“Por medio de la cual se modifica el artículo 49 de la constitución política de Colombia y se regulariza cannabis de uso adulto”</w:t>
      </w:r>
      <w:r w:rsidRPr="0028010E">
        <w:rPr>
          <w:rFonts w:ascii="Times New Roman" w:eastAsia="Times New Roman" w:hAnsi="Times New Roman" w:cs="Times New Roman"/>
          <w:sz w:val="26"/>
          <w:szCs w:val="26"/>
        </w:rPr>
        <w:t>.</w:t>
      </w:r>
    </w:p>
    <w:p w14:paraId="087A45F6" w14:textId="77777777" w:rsidR="001F6D26" w:rsidRPr="0028010E" w:rsidRDefault="001F6D26" w:rsidP="001F6D26">
      <w:pPr>
        <w:spacing w:before="240" w:after="240"/>
        <w:jc w:val="both"/>
        <w:rPr>
          <w:rFonts w:ascii="Times New Roman" w:eastAsia="Times New Roman" w:hAnsi="Times New Roman" w:cs="Times New Roman"/>
          <w:sz w:val="26"/>
          <w:szCs w:val="26"/>
        </w:rPr>
      </w:pPr>
    </w:p>
    <w:p w14:paraId="55DAB33A" w14:textId="77777777" w:rsidR="001F6D26" w:rsidRPr="0028010E" w:rsidRDefault="001F6D26" w:rsidP="001F6D26">
      <w:pPr>
        <w:spacing w:before="240" w:after="240"/>
        <w:jc w:val="center"/>
        <w:rPr>
          <w:rFonts w:ascii="Times New Roman" w:eastAsia="Times New Roman" w:hAnsi="Times New Roman" w:cs="Times New Roman"/>
          <w:b/>
          <w:sz w:val="26"/>
          <w:szCs w:val="26"/>
        </w:rPr>
      </w:pPr>
      <w:r w:rsidRPr="0028010E">
        <w:rPr>
          <w:rFonts w:ascii="Times New Roman" w:eastAsia="Times New Roman" w:hAnsi="Times New Roman" w:cs="Times New Roman"/>
          <w:b/>
          <w:sz w:val="26"/>
          <w:szCs w:val="26"/>
        </w:rPr>
        <w:t>¿Por qué hay que regular el cannabis para uso adulto en Colombia?</w:t>
      </w:r>
    </w:p>
    <w:p w14:paraId="421A8F23" w14:textId="77777777" w:rsidR="001F6D26" w:rsidRPr="0028010E" w:rsidRDefault="001F6D26" w:rsidP="001F6D26">
      <w:pPr>
        <w:spacing w:before="240" w:after="240"/>
        <w:jc w:val="right"/>
        <w:rPr>
          <w:rFonts w:ascii="Times New Roman" w:eastAsia="Times New Roman" w:hAnsi="Times New Roman" w:cs="Times New Roman"/>
          <w:b/>
          <w:sz w:val="24"/>
          <w:szCs w:val="24"/>
        </w:rPr>
      </w:pPr>
      <w:r w:rsidRPr="0028010E">
        <w:rPr>
          <w:rFonts w:ascii="Times New Roman" w:eastAsia="Times New Roman" w:hAnsi="Times New Roman" w:cs="Times New Roman"/>
          <w:b/>
          <w:sz w:val="24"/>
          <w:szCs w:val="24"/>
        </w:rPr>
        <w:t>Elementa DDHH</w:t>
      </w:r>
      <w:r w:rsidRPr="0028010E">
        <w:rPr>
          <w:rFonts w:ascii="Times New Roman" w:eastAsia="Times New Roman" w:hAnsi="Times New Roman" w:cs="Times New Roman"/>
          <w:b/>
          <w:sz w:val="24"/>
          <w:szCs w:val="24"/>
          <w:vertAlign w:val="superscript"/>
        </w:rPr>
        <w:footnoteReference w:id="1"/>
      </w:r>
    </w:p>
    <w:p w14:paraId="0FF20E1B"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Colombia ha sido uno de los países que más ha sufrido las políticas prohibicionistas, que prometieron hace 50 años acabar con las drogas y sólo han causado muerte, estigmatización y desigualdad, especialmente en los países productores como Colombia. Abrir la puerta hacia la regulación del uso adulto del cannabis implica plantearse un nuevo enfoque de abordaje de la relación de las sociedades con las drogas. La regulación del cannabis para uso adulto busca </w:t>
      </w:r>
    </w:p>
    <w:p w14:paraId="5413D3DC" w14:textId="09816803"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lastRenderedPageBreak/>
        <w:t xml:space="preserve">aprender de los errores del pasado, reconociendo siempre el derecho al libre desarrollo de la personalidad sin desconocer los eventuales riesgos que todo tipo de sustancia psicoactiva (como el alcohol o el cigarrillo) pueden causar si no se </w:t>
      </w:r>
      <w:r w:rsidRPr="0028010E">
        <w:rPr>
          <w:rFonts w:ascii="Times New Roman" w:eastAsia="Times New Roman" w:hAnsi="Times New Roman" w:cs="Times New Roman"/>
          <w:sz w:val="24"/>
          <w:szCs w:val="24"/>
        </w:rPr>
        <w:t>les</w:t>
      </w:r>
      <w:r w:rsidRPr="0028010E">
        <w:rPr>
          <w:rFonts w:ascii="Times New Roman" w:eastAsia="Times New Roman" w:hAnsi="Times New Roman" w:cs="Times New Roman"/>
          <w:sz w:val="24"/>
          <w:szCs w:val="24"/>
        </w:rPr>
        <w:t xml:space="preserve"> brinda la información adecuada a los consumidores y se implementan políticas de prevención y reducción de riesgos y daños que aborden el eventual abuso de las sustancias desde un enfoque de salud pública.</w:t>
      </w:r>
    </w:p>
    <w:p w14:paraId="17B385A7"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A hoy, el uso adulto del cannabis ha sido regulado en países como Canadá, Holanda y Uruguay, mientras que en Estados Unidos ya es legal en 18 de los 50 Estados. A su vez, esta se ha convertido en una de las industrias de mayor crecimiento de los últimos años, en 2021 esta industria generó $60.000 millones de dólares en Estados Unidos, 3 veces más que la industria de la cervecería artesanal</w:t>
      </w:r>
      <w:r w:rsidRPr="0028010E">
        <w:rPr>
          <w:rFonts w:ascii="Times New Roman" w:eastAsia="Times New Roman" w:hAnsi="Times New Roman" w:cs="Times New Roman"/>
          <w:sz w:val="24"/>
          <w:szCs w:val="24"/>
          <w:vertAlign w:val="superscript"/>
        </w:rPr>
        <w:footnoteReference w:id="2"/>
      </w:r>
      <w:r w:rsidRPr="0028010E">
        <w:rPr>
          <w:rFonts w:ascii="Times New Roman" w:eastAsia="Times New Roman" w:hAnsi="Times New Roman" w:cs="Times New Roman"/>
          <w:sz w:val="24"/>
          <w:szCs w:val="24"/>
        </w:rPr>
        <w:t>, mientras ha creado casi 500.000 empleos</w:t>
      </w:r>
      <w:r w:rsidRPr="0028010E">
        <w:rPr>
          <w:rFonts w:ascii="Times New Roman" w:eastAsia="Times New Roman" w:hAnsi="Times New Roman" w:cs="Times New Roman"/>
          <w:sz w:val="24"/>
          <w:szCs w:val="24"/>
          <w:vertAlign w:val="superscript"/>
        </w:rPr>
        <w:footnoteReference w:id="3"/>
      </w:r>
      <w:r w:rsidRPr="0028010E">
        <w:rPr>
          <w:rFonts w:ascii="Times New Roman" w:eastAsia="Times New Roman" w:hAnsi="Times New Roman" w:cs="Times New Roman"/>
          <w:sz w:val="24"/>
          <w:szCs w:val="24"/>
        </w:rPr>
        <w:t>, convirtiéndose en uno de los sectores con mayor crecimiento en los últimos años, poniéndose a la par con sectores como el financiero y de la construcción. Para Colombia, por sus condiciones climáticas especiales al ubicarse en el trópico, y por los conocimientos tradicionales que ya se tienen de dichos cultivos, el cannabis recreativo representaría representa unas oportunidades enormes de generación de empleo y riqueza, que ya se han comenzado a ver con la industria del cannabis medicinal</w:t>
      </w:r>
      <w:r w:rsidRPr="0028010E">
        <w:rPr>
          <w:rFonts w:ascii="Times New Roman" w:eastAsia="Times New Roman" w:hAnsi="Times New Roman" w:cs="Times New Roman"/>
          <w:sz w:val="24"/>
          <w:szCs w:val="24"/>
          <w:vertAlign w:val="superscript"/>
        </w:rPr>
        <w:footnoteReference w:id="4"/>
      </w:r>
      <w:r w:rsidRPr="0028010E">
        <w:rPr>
          <w:rFonts w:ascii="Times New Roman" w:eastAsia="Times New Roman" w:hAnsi="Times New Roman" w:cs="Times New Roman"/>
          <w:sz w:val="24"/>
          <w:szCs w:val="24"/>
        </w:rPr>
        <w:t>, pero, que puede potenciarse y tener efectos positivos en las poblaciones más vulnerables con la regulación del uso adulto, toda vez que el cultivo del cannabis para uso adulto no tiene las limitaciones técnicas y de presupuesto que sí tiene el cannabis para usos medicinales, lo que permitiría que comunidades como las del norte del cauca, que no han podido participar de los beneficios económicos de la industria del cannabis medicinal, puedan hacer parte del mercado del cannabis de uso adulto.</w:t>
      </w:r>
    </w:p>
    <w:p w14:paraId="5D1B0C44"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Además de las razones económicas, la regulación del cannabis también es un paso hacia la construcción de un Estado que reconoce los derechos individuales de sus ciudadanos, que los trata como adultos al brindarles información clara y basada en la evidencia, y no en los </w:t>
      </w:r>
    </w:p>
    <w:p w14:paraId="71B27A2C" w14:textId="77777777" w:rsidR="001F6D26" w:rsidRPr="0028010E" w:rsidRDefault="001F6D26" w:rsidP="001F6D26">
      <w:pPr>
        <w:spacing w:before="240" w:after="240"/>
        <w:jc w:val="both"/>
        <w:rPr>
          <w:rFonts w:ascii="Times New Roman" w:eastAsia="Times New Roman" w:hAnsi="Times New Roman" w:cs="Times New Roman"/>
          <w:sz w:val="24"/>
          <w:szCs w:val="24"/>
        </w:rPr>
      </w:pPr>
    </w:p>
    <w:p w14:paraId="6705D248"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lastRenderedPageBreak/>
        <w:t>prejuicios sobre lo que consumen, pero a la vez que reconoce sus errores al haberle apostado durante años a una “guerra contra las drogas” que dividió a los ciudadanos en “buenos y malos” y afectó profundamente el tejido social.</w:t>
      </w:r>
    </w:p>
    <w:p w14:paraId="65610E5D" w14:textId="77777777" w:rsidR="001F6D26" w:rsidRPr="0028010E" w:rsidRDefault="001F6D26" w:rsidP="001F6D26">
      <w:pPr>
        <w:spacing w:before="240" w:after="240"/>
        <w:jc w:val="both"/>
        <w:rPr>
          <w:rFonts w:ascii="Times New Roman" w:eastAsia="Times New Roman" w:hAnsi="Times New Roman" w:cs="Times New Roman"/>
          <w:b/>
          <w:sz w:val="24"/>
          <w:szCs w:val="24"/>
        </w:rPr>
      </w:pPr>
      <w:r w:rsidRPr="0028010E">
        <w:rPr>
          <w:rFonts w:ascii="Times New Roman" w:eastAsia="Times New Roman" w:hAnsi="Times New Roman" w:cs="Times New Roman"/>
          <w:b/>
          <w:sz w:val="24"/>
          <w:szCs w:val="24"/>
        </w:rPr>
        <w:t>Mitos de la Regulación del cannabis de uso adulto</w:t>
      </w:r>
    </w:p>
    <w:p w14:paraId="5770E970" w14:textId="668DF92B"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Para enfrentar varios de los mitos que existen sobre el cannabis, es una buena tarea comparar estos mitos con el alcohol y el tabaco, </w:t>
      </w:r>
      <w:r w:rsidRPr="0028010E">
        <w:rPr>
          <w:rFonts w:ascii="Times New Roman" w:eastAsia="Times New Roman" w:hAnsi="Times New Roman" w:cs="Times New Roman"/>
          <w:sz w:val="24"/>
          <w:szCs w:val="24"/>
        </w:rPr>
        <w:t>que,</w:t>
      </w:r>
      <w:r w:rsidRPr="0028010E">
        <w:rPr>
          <w:rFonts w:ascii="Times New Roman" w:eastAsia="Times New Roman" w:hAnsi="Times New Roman" w:cs="Times New Roman"/>
          <w:sz w:val="24"/>
          <w:szCs w:val="24"/>
        </w:rPr>
        <w:t xml:space="preserve"> aunque son drogas distintas, son el ejemplo más claro que tenemos de cómo se pueden regular las sustancias psicoactivas, y de qué se debe mejorar en su regulación. A </w:t>
      </w:r>
      <w:r w:rsidRPr="0028010E">
        <w:rPr>
          <w:rFonts w:ascii="Times New Roman" w:eastAsia="Times New Roman" w:hAnsi="Times New Roman" w:cs="Times New Roman"/>
          <w:sz w:val="24"/>
          <w:szCs w:val="24"/>
        </w:rPr>
        <w:t>continuación,</w:t>
      </w:r>
      <w:r w:rsidRPr="0028010E">
        <w:rPr>
          <w:rFonts w:ascii="Times New Roman" w:eastAsia="Times New Roman" w:hAnsi="Times New Roman" w:cs="Times New Roman"/>
          <w:sz w:val="24"/>
          <w:szCs w:val="24"/>
        </w:rPr>
        <w:t xml:space="preserve"> desmentimos algunos de los mitos más usuales respecto a la regulación del Cannabis:</w:t>
      </w:r>
    </w:p>
    <w:p w14:paraId="21B85DDB" w14:textId="6D25904B" w:rsidR="001F6D26" w:rsidRPr="0028010E" w:rsidRDefault="001F6D26" w:rsidP="001F6D26">
      <w:pPr>
        <w:numPr>
          <w:ilvl w:val="0"/>
          <w:numId w:val="3"/>
        </w:numPr>
        <w:spacing w:before="240"/>
        <w:jc w:val="both"/>
        <w:rPr>
          <w:rFonts w:ascii="Times New Roman" w:eastAsia="Times New Roman" w:hAnsi="Times New Roman" w:cs="Times New Roman"/>
          <w:sz w:val="24"/>
          <w:szCs w:val="24"/>
        </w:rPr>
      </w:pPr>
      <w:r w:rsidRPr="0028010E">
        <w:rPr>
          <w:rFonts w:ascii="Times New Roman" w:eastAsia="Times New Roman" w:hAnsi="Times New Roman" w:cs="Times New Roman"/>
          <w:b/>
          <w:sz w:val="24"/>
          <w:szCs w:val="24"/>
        </w:rPr>
        <w:t>El Cannabis es la puerta de entrada a otras drogas más fuertes:</w:t>
      </w:r>
      <w:r w:rsidRPr="0028010E">
        <w:rPr>
          <w:rFonts w:ascii="Times New Roman" w:eastAsia="Times New Roman" w:hAnsi="Times New Roman" w:cs="Times New Roman"/>
          <w:sz w:val="24"/>
          <w:szCs w:val="24"/>
        </w:rPr>
        <w:t xml:space="preserve"> Según las Encuesta Nacional de Consumo de Sustancias Psicoactivas publicada por el DANE en 2020, actualmente el cannabis ocupa el tercer lugar dentro de las sustancias con mayor prevalencia en adultos y adolescentes, con un 8.3%, mientras que el alcohol con un 84% y el tabaco un 33.3% son las </w:t>
      </w:r>
      <w:r w:rsidRPr="0028010E">
        <w:rPr>
          <w:rFonts w:ascii="Times New Roman" w:eastAsia="Times New Roman" w:hAnsi="Times New Roman" w:cs="Times New Roman"/>
          <w:sz w:val="24"/>
          <w:szCs w:val="24"/>
        </w:rPr>
        <w:t>sustancias más usadas</w:t>
      </w:r>
      <w:r w:rsidRPr="0028010E">
        <w:rPr>
          <w:rFonts w:ascii="Times New Roman" w:eastAsia="Times New Roman" w:hAnsi="Times New Roman" w:cs="Times New Roman"/>
          <w:sz w:val="24"/>
          <w:szCs w:val="24"/>
        </w:rPr>
        <w:t xml:space="preserve"> por adolescentes y adultos en Colombia. Es decir, el puesto de las drogas más populares se comparte entre sustancias reguladas y una no regulada, lo cual evidenciaría que la regulación no tiene nada que ver con la preferencia de las poblaciones jóvenes por dichas sustancias, ya que la prohibición tampoco ha logrado incidir en la posibilidad de adquirirlas, pues según el mismo estudio del DANE, el 54% de la población ha indicado que le resultaría fácil conseguir cannabis. </w:t>
      </w:r>
    </w:p>
    <w:p w14:paraId="38F5712D" w14:textId="77777777" w:rsidR="001F6D26" w:rsidRPr="0028010E" w:rsidRDefault="001F6D26" w:rsidP="001F6D26">
      <w:pPr>
        <w:ind w:left="720"/>
        <w:jc w:val="both"/>
        <w:rPr>
          <w:rFonts w:ascii="Times New Roman" w:eastAsia="Times New Roman" w:hAnsi="Times New Roman" w:cs="Times New Roman"/>
          <w:b/>
          <w:sz w:val="24"/>
          <w:szCs w:val="24"/>
        </w:rPr>
      </w:pPr>
    </w:p>
    <w:p w14:paraId="3B03A44A" w14:textId="30034030" w:rsidR="001F6D26" w:rsidRPr="0028010E" w:rsidRDefault="001F6D26" w:rsidP="001F6D26">
      <w:pPr>
        <w:ind w:left="72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Ahora bien, el consumo tanto de cannabis como de alcohol en edades tempranas ha demostrado que puede tener efectos muy perjudiciales en la salud a corto, mediano y largo plazo, siendo, por </w:t>
      </w:r>
      <w:r w:rsidRPr="0028010E">
        <w:rPr>
          <w:rFonts w:ascii="Times New Roman" w:eastAsia="Times New Roman" w:hAnsi="Times New Roman" w:cs="Times New Roman"/>
          <w:sz w:val="24"/>
          <w:szCs w:val="24"/>
        </w:rPr>
        <w:t>ejemplo,</w:t>
      </w:r>
      <w:r w:rsidRPr="0028010E">
        <w:rPr>
          <w:rFonts w:ascii="Times New Roman" w:eastAsia="Times New Roman" w:hAnsi="Times New Roman" w:cs="Times New Roman"/>
          <w:sz w:val="24"/>
          <w:szCs w:val="24"/>
        </w:rPr>
        <w:t xml:space="preserve"> más proclive al consumo problemático un alguien que haya iniciado su consumo en edades tempranas que uno que haya comenzado en edades más avanzadas</w:t>
      </w:r>
      <w:r w:rsidRPr="0028010E">
        <w:rPr>
          <w:rFonts w:ascii="Times New Roman" w:eastAsia="Times New Roman" w:hAnsi="Times New Roman" w:cs="Times New Roman"/>
          <w:sz w:val="24"/>
          <w:szCs w:val="24"/>
          <w:vertAlign w:val="superscript"/>
        </w:rPr>
        <w:footnoteReference w:id="5"/>
      </w:r>
      <w:r w:rsidRPr="0028010E">
        <w:rPr>
          <w:rFonts w:ascii="Times New Roman" w:eastAsia="Times New Roman" w:hAnsi="Times New Roman" w:cs="Times New Roman"/>
          <w:sz w:val="24"/>
          <w:szCs w:val="24"/>
        </w:rPr>
        <w:t>. Por esta razón, es importante que el Estado aplique medidas de prevención eficientes, basadas en la evidencia y no en la estigmatización, donde se informe a los menores de edad sobre los peligros del consumo temprano, pero no donde se estigmatice al consumidor, pues este tipo de políticas han demostrado ser ineficaces y crear más problemas sociales que los que resuelve.</w:t>
      </w:r>
    </w:p>
    <w:p w14:paraId="15C275AA" w14:textId="77777777" w:rsidR="001F6D26" w:rsidRPr="0028010E" w:rsidRDefault="001F6D26" w:rsidP="001F6D26">
      <w:pPr>
        <w:ind w:left="720"/>
        <w:jc w:val="both"/>
        <w:rPr>
          <w:rFonts w:ascii="Times New Roman" w:eastAsia="Times New Roman" w:hAnsi="Times New Roman" w:cs="Times New Roman"/>
          <w:b/>
          <w:sz w:val="24"/>
          <w:szCs w:val="24"/>
        </w:rPr>
      </w:pPr>
    </w:p>
    <w:p w14:paraId="6028B8DF" w14:textId="77777777" w:rsidR="001F6D26" w:rsidRPr="0028010E" w:rsidRDefault="001F6D26" w:rsidP="001F6D26">
      <w:pPr>
        <w:ind w:left="720"/>
        <w:jc w:val="both"/>
        <w:rPr>
          <w:rFonts w:ascii="Times New Roman" w:eastAsia="Times New Roman" w:hAnsi="Times New Roman" w:cs="Times New Roman"/>
          <w:sz w:val="24"/>
          <w:szCs w:val="24"/>
        </w:rPr>
      </w:pPr>
    </w:p>
    <w:p w14:paraId="1549331B" w14:textId="6A6AAB39" w:rsidR="001F6D26" w:rsidRPr="0028010E" w:rsidRDefault="001F6D26" w:rsidP="001F6D26">
      <w:pPr>
        <w:ind w:left="72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lastRenderedPageBreak/>
        <w:t xml:space="preserve">Ahora bien, respecto a que el cannabis sea la puerta de entrada a otras drogas más fuertes, diversos estudios han demostrado como esto de la “puerta de entrada” depende más que de la sustancia, de la edad de inicio de consumo, el entorno social y las condiciones personales de salud mental y emocional. De hecho, en muchos casos la “puerta de entrada” a otras drogas no es el cannabis sino las drogas legales como el alcohol y el tabaco, mientras que la prohibición del cannabis no ha demostrado poder contener el consumo de marihuana en edades tempranas, </w:t>
      </w:r>
      <w:r w:rsidR="0028010E" w:rsidRPr="0028010E">
        <w:rPr>
          <w:rFonts w:ascii="Times New Roman" w:eastAsia="Times New Roman" w:hAnsi="Times New Roman" w:cs="Times New Roman"/>
          <w:sz w:val="24"/>
          <w:szCs w:val="24"/>
        </w:rPr>
        <w:t>y,</w:t>
      </w:r>
      <w:r w:rsidRPr="0028010E">
        <w:rPr>
          <w:rFonts w:ascii="Times New Roman" w:eastAsia="Times New Roman" w:hAnsi="Times New Roman" w:cs="Times New Roman"/>
          <w:sz w:val="24"/>
          <w:szCs w:val="24"/>
        </w:rPr>
        <w:t xml:space="preserve"> por el contrario, ha permitido que el mercado se expanda sin ningún tipo de regulación respecto a las edades de consumo o las altas cantidades de THC</w:t>
      </w:r>
      <w:r w:rsidRPr="0028010E">
        <w:rPr>
          <w:rFonts w:ascii="Times New Roman" w:eastAsia="Times New Roman" w:hAnsi="Times New Roman" w:cs="Times New Roman"/>
          <w:sz w:val="24"/>
          <w:szCs w:val="24"/>
          <w:vertAlign w:val="superscript"/>
        </w:rPr>
        <w:footnoteReference w:id="6"/>
      </w:r>
      <w:r w:rsidRPr="0028010E">
        <w:rPr>
          <w:rFonts w:ascii="Times New Roman" w:eastAsia="Times New Roman" w:hAnsi="Times New Roman" w:cs="Times New Roman"/>
          <w:sz w:val="24"/>
          <w:szCs w:val="24"/>
        </w:rPr>
        <w:t xml:space="preserve">. </w:t>
      </w:r>
    </w:p>
    <w:p w14:paraId="343A6275" w14:textId="77777777" w:rsidR="001F6D26" w:rsidRPr="0028010E" w:rsidRDefault="001F6D26" w:rsidP="001F6D26">
      <w:pPr>
        <w:ind w:left="720"/>
        <w:jc w:val="both"/>
        <w:rPr>
          <w:rFonts w:ascii="Times New Roman" w:eastAsia="Times New Roman" w:hAnsi="Times New Roman" w:cs="Times New Roman"/>
          <w:sz w:val="24"/>
          <w:szCs w:val="24"/>
        </w:rPr>
      </w:pPr>
    </w:p>
    <w:p w14:paraId="3EDFFF91" w14:textId="77777777" w:rsidR="001F6D26" w:rsidRPr="0028010E" w:rsidRDefault="001F6D26" w:rsidP="001F6D26">
      <w:pPr>
        <w:numPr>
          <w:ilvl w:val="0"/>
          <w:numId w:val="3"/>
        </w:numPr>
        <w:jc w:val="both"/>
        <w:rPr>
          <w:rFonts w:ascii="Times New Roman" w:eastAsia="Times New Roman" w:hAnsi="Times New Roman" w:cs="Times New Roman"/>
          <w:sz w:val="24"/>
          <w:szCs w:val="24"/>
        </w:rPr>
      </w:pPr>
      <w:r w:rsidRPr="0028010E">
        <w:rPr>
          <w:rFonts w:ascii="Times New Roman" w:eastAsia="Times New Roman" w:hAnsi="Times New Roman" w:cs="Times New Roman"/>
          <w:b/>
          <w:sz w:val="24"/>
          <w:szCs w:val="24"/>
        </w:rPr>
        <w:t xml:space="preserve">La regulación del cannabis traerá un incremento en el consumo: </w:t>
      </w:r>
      <w:r w:rsidRPr="0028010E">
        <w:rPr>
          <w:rFonts w:ascii="Times New Roman" w:eastAsia="Times New Roman" w:hAnsi="Times New Roman" w:cs="Times New Roman"/>
          <w:sz w:val="24"/>
          <w:szCs w:val="24"/>
        </w:rPr>
        <w:t>Washington y Colorado fueron dos de los Estados que aprobaron el uso adulto del Cannabis en 2012, por lo tanto son de los que se tienen cifras más acertadas, en las cuáles si bien se ha evidenciado que desde la regulación ha existido un leve incremento en el consumo no problemático de cannabis, de hecho el consumo problemático de alcohol y otras drogas ha disminuido sustancialmente, y hechos complejos relacionados al alcohol como los casos de violencia intrafamiliar y los problemas financieros por consumo se han reducido sustancialmente, quizás porque el cannabis se ha convertido en un sustituto con menor impacto para los consumidores problemáticos de alcohol</w:t>
      </w:r>
      <w:r w:rsidRPr="0028010E">
        <w:rPr>
          <w:rFonts w:ascii="Times New Roman" w:eastAsia="Times New Roman" w:hAnsi="Times New Roman" w:cs="Times New Roman"/>
          <w:sz w:val="24"/>
          <w:szCs w:val="24"/>
          <w:vertAlign w:val="superscript"/>
        </w:rPr>
        <w:footnoteReference w:id="7"/>
      </w:r>
      <w:r w:rsidRPr="0028010E">
        <w:rPr>
          <w:rFonts w:ascii="Times New Roman" w:eastAsia="Times New Roman" w:hAnsi="Times New Roman" w:cs="Times New Roman"/>
          <w:sz w:val="24"/>
          <w:szCs w:val="24"/>
        </w:rPr>
        <w:t xml:space="preserve"> y otras drogas como los opioides</w:t>
      </w:r>
      <w:r w:rsidRPr="0028010E">
        <w:rPr>
          <w:rFonts w:ascii="Times New Roman" w:eastAsia="Times New Roman" w:hAnsi="Times New Roman" w:cs="Times New Roman"/>
          <w:sz w:val="24"/>
          <w:szCs w:val="24"/>
          <w:vertAlign w:val="superscript"/>
        </w:rPr>
        <w:footnoteReference w:id="8"/>
      </w:r>
      <w:r w:rsidRPr="0028010E">
        <w:rPr>
          <w:rFonts w:ascii="Times New Roman" w:eastAsia="Times New Roman" w:hAnsi="Times New Roman" w:cs="Times New Roman"/>
          <w:sz w:val="24"/>
          <w:szCs w:val="24"/>
        </w:rPr>
        <w:t>.</w:t>
      </w:r>
    </w:p>
    <w:p w14:paraId="325C2815" w14:textId="77777777" w:rsidR="001F6D26" w:rsidRPr="0028010E" w:rsidRDefault="001F6D26" w:rsidP="001F6D26">
      <w:pPr>
        <w:ind w:left="720"/>
        <w:jc w:val="both"/>
        <w:rPr>
          <w:rFonts w:ascii="Times New Roman" w:eastAsia="Times New Roman" w:hAnsi="Times New Roman" w:cs="Times New Roman"/>
          <w:sz w:val="24"/>
          <w:szCs w:val="24"/>
        </w:rPr>
      </w:pPr>
    </w:p>
    <w:p w14:paraId="147A6F45" w14:textId="77777777" w:rsidR="001F6D26" w:rsidRPr="0028010E" w:rsidRDefault="001F6D26" w:rsidP="001F6D26">
      <w:pPr>
        <w:numPr>
          <w:ilvl w:val="0"/>
          <w:numId w:val="3"/>
        </w:numPr>
        <w:jc w:val="both"/>
        <w:rPr>
          <w:rFonts w:ascii="Times New Roman" w:eastAsia="Times New Roman" w:hAnsi="Times New Roman" w:cs="Times New Roman"/>
          <w:sz w:val="24"/>
          <w:szCs w:val="24"/>
        </w:rPr>
      </w:pPr>
      <w:r w:rsidRPr="0028010E">
        <w:rPr>
          <w:rFonts w:ascii="Times New Roman" w:eastAsia="Times New Roman" w:hAnsi="Times New Roman" w:cs="Times New Roman"/>
          <w:b/>
          <w:sz w:val="24"/>
          <w:szCs w:val="24"/>
        </w:rPr>
        <w:t xml:space="preserve">La regulación incrementará las muertes por sobredosis en jóvenes: </w:t>
      </w:r>
      <w:r w:rsidRPr="0028010E">
        <w:rPr>
          <w:rFonts w:ascii="Times New Roman" w:eastAsia="Times New Roman" w:hAnsi="Times New Roman" w:cs="Times New Roman"/>
          <w:sz w:val="24"/>
          <w:szCs w:val="24"/>
        </w:rPr>
        <w:t xml:space="preserve">No sólo las muertes por sobredosis de cannabis no existen, sino que en estudios realizados por XXX, se reconoció que la sustancia más común en las muertes en que existía algún tipo de sustancia en el cuerpo, esta sustancia era el alcohol. De hecho, la regulación del cannabis permitirá que se regule el tipo de cannabis al que van a acceder y se </w:t>
      </w:r>
    </w:p>
    <w:p w14:paraId="380B620A" w14:textId="77777777" w:rsidR="001F6D26" w:rsidRPr="0028010E" w:rsidRDefault="001F6D26" w:rsidP="001F6D26">
      <w:pPr>
        <w:ind w:left="720"/>
        <w:jc w:val="both"/>
        <w:rPr>
          <w:rFonts w:ascii="Times New Roman" w:eastAsia="Times New Roman" w:hAnsi="Times New Roman" w:cs="Times New Roman"/>
          <w:sz w:val="24"/>
          <w:szCs w:val="24"/>
        </w:rPr>
      </w:pPr>
    </w:p>
    <w:p w14:paraId="27BCE769" w14:textId="77777777" w:rsidR="001F6D26" w:rsidRPr="0028010E" w:rsidRDefault="001F6D26" w:rsidP="001F6D26">
      <w:pPr>
        <w:ind w:left="720"/>
        <w:jc w:val="both"/>
        <w:rPr>
          <w:rFonts w:ascii="Times New Roman" w:eastAsia="Times New Roman" w:hAnsi="Times New Roman" w:cs="Times New Roman"/>
          <w:sz w:val="24"/>
          <w:szCs w:val="24"/>
        </w:rPr>
      </w:pPr>
    </w:p>
    <w:p w14:paraId="15066F74" w14:textId="77777777" w:rsidR="001F6D26" w:rsidRPr="0028010E" w:rsidRDefault="001F6D26" w:rsidP="001F6D26">
      <w:pPr>
        <w:ind w:left="72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lastRenderedPageBreak/>
        <w:t>controle su calidad, niveles de THC y demás, permitiendo así reducir los riesgos que tiene todo consumo no regulado.</w:t>
      </w:r>
    </w:p>
    <w:p w14:paraId="32EE737B" w14:textId="77777777" w:rsidR="001F6D26" w:rsidRPr="0028010E" w:rsidRDefault="001F6D26" w:rsidP="001F6D26">
      <w:pPr>
        <w:ind w:left="720"/>
        <w:jc w:val="both"/>
        <w:rPr>
          <w:rFonts w:ascii="Times New Roman" w:eastAsia="Times New Roman" w:hAnsi="Times New Roman" w:cs="Times New Roman"/>
          <w:sz w:val="24"/>
          <w:szCs w:val="24"/>
        </w:rPr>
      </w:pPr>
    </w:p>
    <w:p w14:paraId="00D11452" w14:textId="77777777" w:rsidR="001F6D26" w:rsidRPr="0028010E" w:rsidRDefault="001F6D26" w:rsidP="001F6D26">
      <w:pPr>
        <w:numPr>
          <w:ilvl w:val="0"/>
          <w:numId w:val="3"/>
        </w:numPr>
        <w:spacing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b/>
          <w:sz w:val="24"/>
          <w:szCs w:val="24"/>
        </w:rPr>
        <w:t xml:space="preserve">Se están incluyendo las drogas en la Constitución: </w:t>
      </w:r>
      <w:r w:rsidRPr="0028010E">
        <w:rPr>
          <w:rFonts w:ascii="Times New Roman" w:eastAsia="Times New Roman" w:hAnsi="Times New Roman" w:cs="Times New Roman"/>
          <w:sz w:val="24"/>
          <w:szCs w:val="24"/>
        </w:rPr>
        <w:t>En el año 2009, el Congreso de la República aprobó el acto legislativo 002 de 2009, el cual incluyó en el artículo 49 de la constitución colombiana, que consagra el derecho a la salud como un derecho fundamental en el Estado colombiano, una prohibición expresa al porte y consumo de cualquier Sustancia Psicoactiva, salvo prescripción médica. Este acto legislativo de 2009 fue el que incluyó al debate de las drogas en la constitución política, error que este acto legislativo busca solucionar parcialmente incluyendo una excepción para el cannabis de uso adulto.</w:t>
      </w:r>
    </w:p>
    <w:p w14:paraId="70055112" w14:textId="77777777" w:rsidR="001F6D26" w:rsidRPr="0028010E" w:rsidRDefault="001F6D26" w:rsidP="001F6D26">
      <w:pPr>
        <w:spacing w:before="240" w:after="240"/>
        <w:jc w:val="both"/>
        <w:rPr>
          <w:rFonts w:ascii="Times New Roman" w:eastAsia="Times New Roman" w:hAnsi="Times New Roman" w:cs="Times New Roman"/>
          <w:b/>
          <w:sz w:val="24"/>
          <w:szCs w:val="24"/>
        </w:rPr>
      </w:pPr>
      <w:r w:rsidRPr="0028010E">
        <w:rPr>
          <w:rFonts w:ascii="Times New Roman" w:eastAsia="Times New Roman" w:hAnsi="Times New Roman" w:cs="Times New Roman"/>
          <w:b/>
          <w:sz w:val="24"/>
          <w:szCs w:val="24"/>
        </w:rPr>
        <w:t>¿Qué se puede mejorar del Proyecto de Acto Legislativo?</w:t>
      </w:r>
    </w:p>
    <w:p w14:paraId="17042417"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Aunque el proyecto de ley cuenta con el apoyo de gran parte de la sociedad civil que reconoce la necesidad de abrir la puerta a la regulación del cannabis para uso adulto para así poder abordar su consumo desde un enfoque de respeto de los derechos humanos, algunos acápites del Proyecto de Acto Legislativo consideramos que deberían replantearse por limitar los derechos humanos de la población consumidora o por estar cargados de prejuicios y perspectivas incompletas sobre el consumo de cannabis. Estos apartados son los siguientes:</w:t>
      </w:r>
    </w:p>
    <w:p w14:paraId="14E951D0" w14:textId="58964385" w:rsidR="001F6D26" w:rsidRPr="0028010E" w:rsidRDefault="001F6D26" w:rsidP="001F6D26">
      <w:pPr>
        <w:numPr>
          <w:ilvl w:val="0"/>
          <w:numId w:val="1"/>
        </w:numPr>
        <w:spacing w:before="240"/>
        <w:ind w:left="714" w:hanging="357"/>
        <w:jc w:val="both"/>
        <w:rPr>
          <w:rFonts w:ascii="Times New Roman" w:eastAsia="Times New Roman" w:hAnsi="Times New Roman" w:cs="Times New Roman"/>
          <w:sz w:val="24"/>
          <w:szCs w:val="24"/>
          <w:highlight w:val="white"/>
        </w:rPr>
      </w:pPr>
      <w:r w:rsidRPr="0028010E">
        <w:rPr>
          <w:rFonts w:ascii="Times New Roman" w:eastAsia="Times New Roman" w:hAnsi="Times New Roman" w:cs="Times New Roman"/>
          <w:sz w:val="24"/>
          <w:szCs w:val="24"/>
          <w:highlight w:val="white"/>
        </w:rPr>
        <w:t>“</w:t>
      </w:r>
      <w:r w:rsidRPr="0028010E">
        <w:rPr>
          <w:rFonts w:ascii="Times New Roman" w:eastAsia="Times New Roman" w:hAnsi="Times New Roman" w:cs="Times New Roman"/>
          <w:i/>
          <w:sz w:val="24"/>
          <w:szCs w:val="24"/>
          <w:highlight w:val="white"/>
        </w:rPr>
        <w:t xml:space="preserve">La Ley restringirá el porte y consumo del cannabis y sus derivados en entornos escolares y podrá limitar el porte y consumo de cannabis y sus derivados en espacios públicos, zonas comunes, entre otros.” </w:t>
      </w:r>
      <w:r w:rsidRPr="0028010E">
        <w:rPr>
          <w:rFonts w:ascii="Times New Roman" w:eastAsia="Times New Roman" w:hAnsi="Times New Roman" w:cs="Times New Roman"/>
          <w:sz w:val="24"/>
          <w:szCs w:val="24"/>
          <w:highlight w:val="white"/>
        </w:rPr>
        <w:t xml:space="preserve">Aunque comprendemos el interés de evitar que se consuma o porte cannabis cerca de entornos escolares, para evitar así el inicio del consumo en edades tempranas, la realidad ha demostrado que este tipo de normas, como el decreto 1844 de 2018, no son conducentes para este fin, pues su eficacia en la reducción del consumo de menores de edad jamás ha sido probada, mientras que sí han servido para que las autoridades de policía persigan a los ciudadanos y los intimiden con multas exorbitantes, más cuando se incluyen disposiciones tan generales como “espacios públicos” o “zonas comunes”, lo que implicaría que el simple porte de cannabis pueda sancionarse con multa prácticamente en cualquier lugar, limitando gravemente los derechos de los ciudadanía, pero también deteriorando la relación de esta con los oficiales de policía, quienes podrán abusar de la generalidad de estas normas para abrir una puerta más hacia la corrupción policial. Adicionalmente, estas disposiciones que buscan sancionar el solo porte de cannabis, cuando no se está generando algún tipo de afectación a los derechos de terceros, van en contravía de la jurisprudencia de la Corte Constitucional en sentencias como la C-253 de 2019, donde ya ha indicado que este tipo de medidas no son idóneas para el fin que persiguen, y significan una limitación desproporcionada al derecho al libre desarrollo de la </w:t>
      </w:r>
      <w:r w:rsidRPr="0028010E">
        <w:rPr>
          <w:rFonts w:ascii="Times New Roman" w:eastAsia="Times New Roman" w:hAnsi="Times New Roman" w:cs="Times New Roman"/>
          <w:sz w:val="24"/>
          <w:szCs w:val="24"/>
          <w:highlight w:val="white"/>
        </w:rPr>
        <w:lastRenderedPageBreak/>
        <w:t xml:space="preserve">personalidad y una afectación a la dignidad humana de la población usuaria de cannabis. </w:t>
      </w:r>
      <w:r w:rsidRPr="0028010E">
        <w:rPr>
          <w:rFonts w:ascii="Times New Roman" w:eastAsia="Times New Roman" w:hAnsi="Times New Roman" w:cs="Times New Roman"/>
          <w:sz w:val="24"/>
          <w:szCs w:val="24"/>
          <w:highlight w:val="white"/>
        </w:rPr>
        <w:t>Asimismo,</w:t>
      </w:r>
      <w:r w:rsidRPr="0028010E">
        <w:rPr>
          <w:rFonts w:ascii="Times New Roman" w:eastAsia="Times New Roman" w:hAnsi="Times New Roman" w:cs="Times New Roman"/>
          <w:sz w:val="24"/>
          <w:szCs w:val="24"/>
          <w:highlight w:val="white"/>
        </w:rPr>
        <w:t xml:space="preserve"> lo ha reconocido el Consejo de Estado cuando ha declarado la nulidad de este tipo de estipulaciones, salvo para los casos en que se demuestre que la posesión o consumo está afectando derechos de terceros</w:t>
      </w:r>
      <w:r w:rsidRPr="0028010E">
        <w:rPr>
          <w:rFonts w:ascii="Times New Roman" w:eastAsia="Times New Roman" w:hAnsi="Times New Roman" w:cs="Times New Roman"/>
          <w:sz w:val="24"/>
          <w:szCs w:val="24"/>
          <w:highlight w:val="white"/>
          <w:vertAlign w:val="superscript"/>
        </w:rPr>
        <w:footnoteReference w:id="9"/>
      </w:r>
      <w:r w:rsidRPr="0028010E">
        <w:rPr>
          <w:rFonts w:ascii="Times New Roman" w:eastAsia="Times New Roman" w:hAnsi="Times New Roman" w:cs="Times New Roman"/>
          <w:sz w:val="24"/>
          <w:szCs w:val="24"/>
          <w:highlight w:val="white"/>
        </w:rPr>
        <w:t>.</w:t>
      </w:r>
    </w:p>
    <w:p w14:paraId="55F448AA" w14:textId="57E69482" w:rsidR="001F6D26" w:rsidRPr="0028010E" w:rsidRDefault="001F6D26" w:rsidP="001F6D26">
      <w:pPr>
        <w:numPr>
          <w:ilvl w:val="0"/>
          <w:numId w:val="1"/>
        </w:numPr>
        <w:jc w:val="both"/>
        <w:rPr>
          <w:rFonts w:ascii="Times New Roman" w:eastAsia="Times New Roman" w:hAnsi="Times New Roman" w:cs="Times New Roman"/>
          <w:i/>
          <w:sz w:val="24"/>
          <w:szCs w:val="24"/>
        </w:rPr>
      </w:pPr>
      <w:r w:rsidRPr="0028010E">
        <w:rPr>
          <w:rFonts w:ascii="Times New Roman" w:eastAsia="Times New Roman" w:hAnsi="Times New Roman" w:cs="Times New Roman"/>
          <w:sz w:val="24"/>
          <w:szCs w:val="24"/>
          <w:u w:val="single"/>
        </w:rPr>
        <w:t>La Prevención como eje transversal a todo el artículo 49:</w:t>
      </w:r>
      <w:r w:rsidRPr="0028010E">
        <w:rPr>
          <w:rFonts w:ascii="Times New Roman" w:eastAsia="Times New Roman" w:hAnsi="Times New Roman" w:cs="Times New Roman"/>
          <w:sz w:val="24"/>
          <w:szCs w:val="24"/>
        </w:rPr>
        <w:t xml:space="preserve"> </w:t>
      </w:r>
      <w:r w:rsidRPr="0028010E">
        <w:rPr>
          <w:rFonts w:ascii="Times New Roman" w:eastAsia="Times New Roman" w:hAnsi="Times New Roman" w:cs="Times New Roman"/>
          <w:i/>
          <w:sz w:val="24"/>
          <w:szCs w:val="24"/>
        </w:rPr>
        <w:t xml:space="preserve">“y desarrollará en forma permanente campañas de prevención contra el consumo de drogas o sustancias estupefacientes y </w:t>
      </w:r>
      <w:r w:rsidRPr="0028010E">
        <w:rPr>
          <w:rFonts w:ascii="Times New Roman" w:eastAsia="Times New Roman" w:hAnsi="Times New Roman" w:cs="Times New Roman"/>
          <w:b/>
          <w:i/>
          <w:sz w:val="24"/>
          <w:szCs w:val="24"/>
          <w:u w:val="single"/>
        </w:rPr>
        <w:t>sus efectos nocivos</w:t>
      </w:r>
      <w:r w:rsidRPr="0028010E">
        <w:rPr>
          <w:rFonts w:ascii="Times New Roman" w:eastAsia="Times New Roman" w:hAnsi="Times New Roman" w:cs="Times New Roman"/>
          <w:i/>
          <w:sz w:val="24"/>
          <w:szCs w:val="24"/>
        </w:rPr>
        <w:t xml:space="preserve"> en favor de la recuperación de los enfermos dependientes o adictos”. </w:t>
      </w:r>
      <w:r w:rsidRPr="0028010E">
        <w:rPr>
          <w:rFonts w:ascii="Times New Roman" w:eastAsia="Times New Roman" w:hAnsi="Times New Roman" w:cs="Times New Roman"/>
          <w:sz w:val="24"/>
          <w:szCs w:val="24"/>
        </w:rPr>
        <w:t>Aunque entendemos que este apartado viene del Acto Legislativo 2 de 2009, consideramos que este puede ser el momento para 1) repensar el lenguaje de este apartado, buscando no estigmatizar a las personas con un consumo problemático para que su relación con la sociedad no sea hostil como lo ha sido hasta ahora; y 2) se incluyan no sólo políticas de prevención (que han sido poco efectivas en poblaciones mayores de edad) sino también políticas de reducción de riesgos y daños para todo tipo de consumidores.</w:t>
      </w:r>
      <w:r w:rsidRPr="0028010E">
        <w:rPr>
          <w:rFonts w:ascii="Times New Roman" w:eastAsia="Times New Roman" w:hAnsi="Times New Roman" w:cs="Times New Roman"/>
          <w:i/>
          <w:sz w:val="24"/>
          <w:szCs w:val="24"/>
        </w:rPr>
        <w:t xml:space="preserve"> </w:t>
      </w:r>
      <w:r w:rsidRPr="0028010E">
        <w:rPr>
          <w:rFonts w:ascii="Times New Roman" w:eastAsia="Times New Roman" w:hAnsi="Times New Roman" w:cs="Times New Roman"/>
          <w:sz w:val="24"/>
          <w:szCs w:val="24"/>
        </w:rPr>
        <w:t>Acá consideramos importante resaltar que, si bien la prevención continúa siendo una herramienta útil para evitar el consumo problemático, décadas de implementación de estas medidas nos ha demostrado que debemos buscar otras alternativas que han demostrado ser más eficientes, como las políticas de reducción de riesgos y daños. Incluir esto en el artículo 49 permitirá que el Estado comience a formular políticas más eficaces para atender los consumo</w:t>
      </w:r>
      <w:r w:rsidRPr="0028010E">
        <w:rPr>
          <w:rFonts w:ascii="Times New Roman" w:eastAsia="Times New Roman" w:hAnsi="Times New Roman" w:cs="Times New Roman"/>
          <w:sz w:val="24"/>
          <w:szCs w:val="24"/>
        </w:rPr>
        <w:t>s</w:t>
      </w:r>
      <w:r w:rsidRPr="0028010E">
        <w:rPr>
          <w:rFonts w:ascii="Times New Roman" w:eastAsia="Times New Roman" w:hAnsi="Times New Roman" w:cs="Times New Roman"/>
          <w:sz w:val="24"/>
          <w:szCs w:val="24"/>
        </w:rPr>
        <w:t xml:space="preserve"> problemáticos de drogas sin estar atado únicamente a las políticas de prevención, sino yendo más allá. Para esto también sería de gran utilidad incluir la aclaración de que los tratamientos para abordar el consumo problemático proporcionados por el Estado no pueden tener la abstinencia como un requisito, pues esto ha demostrado ser una barrera de entrada o permanencia por la cual las campañas de tratamiento del consumo problemático no han tenido la eficiencia esperada.</w:t>
      </w:r>
      <w:r w:rsidRPr="0028010E">
        <w:rPr>
          <w:rFonts w:ascii="Times New Roman" w:eastAsia="Times New Roman" w:hAnsi="Times New Roman" w:cs="Times New Roman"/>
          <w:i/>
          <w:sz w:val="24"/>
          <w:szCs w:val="24"/>
        </w:rPr>
        <w:t xml:space="preserve"> </w:t>
      </w:r>
    </w:p>
    <w:p w14:paraId="17949321" w14:textId="77777777" w:rsidR="001F6D26" w:rsidRPr="0028010E" w:rsidRDefault="001F6D26" w:rsidP="001F6D26">
      <w:pPr>
        <w:spacing w:before="240" w:after="240"/>
        <w:jc w:val="both"/>
        <w:rPr>
          <w:rFonts w:ascii="Times New Roman" w:eastAsia="Times New Roman" w:hAnsi="Times New Roman" w:cs="Times New Roman"/>
          <w:sz w:val="24"/>
          <w:szCs w:val="24"/>
        </w:rPr>
      </w:pPr>
    </w:p>
    <w:p w14:paraId="39DD05A5" w14:textId="77777777" w:rsidR="001F6D26" w:rsidRPr="0028010E" w:rsidRDefault="001F6D26" w:rsidP="001F6D26">
      <w:pPr>
        <w:spacing w:before="240" w:after="240"/>
        <w:jc w:val="both"/>
        <w:rPr>
          <w:rFonts w:ascii="Times New Roman" w:eastAsia="Times New Roman" w:hAnsi="Times New Roman" w:cs="Times New Roman"/>
          <w:b/>
          <w:sz w:val="24"/>
          <w:szCs w:val="24"/>
        </w:rPr>
      </w:pPr>
      <w:r w:rsidRPr="0028010E">
        <w:rPr>
          <w:rFonts w:ascii="Times New Roman" w:eastAsia="Times New Roman" w:hAnsi="Times New Roman" w:cs="Times New Roman"/>
          <w:sz w:val="24"/>
          <w:szCs w:val="24"/>
        </w:rPr>
        <w:t xml:space="preserve"> </w:t>
      </w:r>
      <w:r w:rsidRPr="0028010E">
        <w:rPr>
          <w:rFonts w:ascii="Times New Roman" w:eastAsia="Times New Roman" w:hAnsi="Times New Roman" w:cs="Times New Roman"/>
          <w:b/>
          <w:sz w:val="24"/>
          <w:szCs w:val="24"/>
        </w:rPr>
        <w:t>¿Qué viene después?</w:t>
      </w:r>
    </w:p>
    <w:p w14:paraId="6F2E6EAB" w14:textId="77777777" w:rsidR="001F6D26" w:rsidRPr="0028010E" w:rsidRDefault="001F6D26" w:rsidP="001F6D26">
      <w:pPr>
        <w:spacing w:before="240"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La modificación del acto legislativo es el primer paso obligado, el cual por su naturaleza debe abarcar apenas lo esencial. La regulación del cannabis es un proceso complejo que deberá ser profundizado posteriormente por un proyecto de ley que aborde más a fondo temas como los impuestos, la inclusión en el mercado de los pequeños y medianos cultivadores, así como los grupos que se han visto más afectados por el prohibicionismo y las comunidades étnicas desde un enfoque diferencial. Sin embargo, todos estos temas, así como los requisitos para el otorgamiento de licencias, deberán ser abordados en normativas posteriores como leyes, </w:t>
      </w:r>
      <w:r w:rsidRPr="0028010E">
        <w:rPr>
          <w:rFonts w:ascii="Times New Roman" w:eastAsia="Times New Roman" w:hAnsi="Times New Roman" w:cs="Times New Roman"/>
          <w:sz w:val="24"/>
          <w:szCs w:val="24"/>
        </w:rPr>
        <w:lastRenderedPageBreak/>
        <w:t>decretos y resoluciones, así como ha venido pasando con el cannabis para usos medicinales, industriales, científicos y alimenticios.</w:t>
      </w:r>
    </w:p>
    <w:p w14:paraId="63588D41" w14:textId="77777777" w:rsidR="001F6D26" w:rsidRPr="0028010E" w:rsidRDefault="001F6D26" w:rsidP="001F6D26">
      <w:pPr>
        <w:spacing w:before="240" w:after="240"/>
        <w:jc w:val="both"/>
        <w:rPr>
          <w:rFonts w:ascii="Times New Roman" w:eastAsia="Times New Roman" w:hAnsi="Times New Roman" w:cs="Times New Roman"/>
          <w:sz w:val="24"/>
          <w:szCs w:val="24"/>
        </w:rPr>
      </w:pPr>
    </w:p>
    <w:p w14:paraId="572FEF9F" w14:textId="77777777" w:rsidR="001F6D26" w:rsidRPr="0028010E" w:rsidRDefault="001F6D26" w:rsidP="001F6D26">
      <w:pPr>
        <w:spacing w:before="240"/>
        <w:jc w:val="both"/>
        <w:rPr>
          <w:rFonts w:ascii="Times New Roman" w:eastAsia="Times New Roman" w:hAnsi="Times New Roman" w:cs="Times New Roman"/>
          <w:sz w:val="24"/>
          <w:szCs w:val="24"/>
        </w:rPr>
      </w:pPr>
      <w:r w:rsidRPr="0028010E">
        <w:rPr>
          <w:rFonts w:ascii="Times New Roman" w:eastAsia="Times New Roman" w:hAnsi="Times New Roman" w:cs="Times New Roman"/>
          <w:b/>
          <w:sz w:val="24"/>
          <w:szCs w:val="24"/>
        </w:rPr>
        <w:t>Bibliografía recomendada sobre regulación y política de drogas en Colombia</w:t>
      </w:r>
      <w:r w:rsidRPr="0028010E">
        <w:rPr>
          <w:rFonts w:ascii="Times New Roman" w:eastAsia="Times New Roman" w:hAnsi="Times New Roman" w:cs="Times New Roman"/>
          <w:sz w:val="24"/>
          <w:szCs w:val="24"/>
        </w:rPr>
        <w:t>:</w:t>
      </w:r>
    </w:p>
    <w:p w14:paraId="65088E03" w14:textId="77777777" w:rsidR="001F6D26" w:rsidRPr="0028010E" w:rsidRDefault="001F6D26" w:rsidP="001F6D26">
      <w:pPr>
        <w:numPr>
          <w:ilvl w:val="0"/>
          <w:numId w:val="2"/>
        </w:numPr>
        <w:spacing w:before="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Elementa DDHH (2022). “</w:t>
      </w:r>
      <w:r w:rsidRPr="0028010E">
        <w:rPr>
          <w:rFonts w:ascii="Times New Roman" w:eastAsia="Times New Roman" w:hAnsi="Times New Roman" w:cs="Times New Roman"/>
          <w:i/>
          <w:sz w:val="24"/>
          <w:szCs w:val="24"/>
        </w:rPr>
        <w:t>Radiografía de política de drogas en Colombia 2018-2022”.</w:t>
      </w:r>
      <w:hyperlink r:id="rId7">
        <w:r w:rsidRPr="0028010E">
          <w:rPr>
            <w:rFonts w:ascii="Times New Roman" w:eastAsia="Times New Roman" w:hAnsi="Times New Roman" w:cs="Times New Roman"/>
            <w:sz w:val="24"/>
            <w:szCs w:val="24"/>
            <w:u w:val="single"/>
          </w:rPr>
          <w:t>https://elementaddhh.org/radiografia-politica-de-drogas-en-colombia-2018-2022/</w:t>
        </w:r>
      </w:hyperlink>
      <w:r w:rsidRPr="0028010E">
        <w:rPr>
          <w:rFonts w:ascii="Times New Roman" w:eastAsia="Times New Roman" w:hAnsi="Times New Roman" w:cs="Times New Roman"/>
          <w:sz w:val="24"/>
          <w:szCs w:val="24"/>
          <w:u w:val="single"/>
        </w:rPr>
        <w:t xml:space="preserve"> </w:t>
      </w:r>
    </w:p>
    <w:p w14:paraId="143CEE79" w14:textId="77777777" w:rsidR="001F6D26" w:rsidRPr="0028010E" w:rsidRDefault="001F6D26" w:rsidP="001F6D26">
      <w:pPr>
        <w:numPr>
          <w:ilvl w:val="0"/>
          <w:numId w:val="2"/>
        </w:numPr>
        <w:spacing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Cruz Olivera, Luis Felipe y Pereira Arana, Isabel. </w:t>
      </w:r>
      <w:r w:rsidRPr="0028010E">
        <w:rPr>
          <w:rFonts w:ascii="Times New Roman" w:eastAsia="Times New Roman" w:hAnsi="Times New Roman" w:cs="Times New Roman"/>
          <w:i/>
          <w:sz w:val="24"/>
          <w:szCs w:val="24"/>
        </w:rPr>
        <w:t>Laberintos de prohibición y regulación. Los grises de la marihuana en Colombia</w:t>
      </w:r>
      <w:r w:rsidRPr="0028010E">
        <w:rPr>
          <w:rFonts w:ascii="Times New Roman" w:eastAsia="Times New Roman" w:hAnsi="Times New Roman" w:cs="Times New Roman"/>
          <w:sz w:val="24"/>
          <w:szCs w:val="24"/>
        </w:rPr>
        <w:t xml:space="preserve">. </w:t>
      </w:r>
      <w:proofErr w:type="spellStart"/>
      <w:r w:rsidRPr="0028010E">
        <w:rPr>
          <w:rFonts w:ascii="Times New Roman" w:eastAsia="Times New Roman" w:hAnsi="Times New Roman" w:cs="Times New Roman"/>
          <w:sz w:val="24"/>
          <w:szCs w:val="24"/>
        </w:rPr>
        <w:t>Dejusticia</w:t>
      </w:r>
      <w:proofErr w:type="spellEnd"/>
      <w:r w:rsidRPr="0028010E">
        <w:rPr>
          <w:rFonts w:ascii="Times New Roman" w:eastAsia="Times New Roman" w:hAnsi="Times New Roman" w:cs="Times New Roman"/>
          <w:sz w:val="24"/>
          <w:szCs w:val="24"/>
        </w:rPr>
        <w:t xml:space="preserve">. 2021. </w:t>
      </w:r>
      <w:hyperlink r:id="rId8">
        <w:r w:rsidRPr="0028010E">
          <w:rPr>
            <w:rFonts w:ascii="Times New Roman" w:eastAsia="Times New Roman" w:hAnsi="Times New Roman" w:cs="Times New Roman"/>
            <w:sz w:val="24"/>
            <w:szCs w:val="24"/>
            <w:u w:val="single"/>
          </w:rPr>
          <w:t>https://www.dejusticia.org/publication/laberintos-de-prohibicion-y-regulacion-los-grises-de-la-marihuana-en-colombia/</w:t>
        </w:r>
      </w:hyperlink>
      <w:r w:rsidRPr="0028010E">
        <w:rPr>
          <w:rFonts w:ascii="Times New Roman" w:eastAsia="Times New Roman" w:hAnsi="Times New Roman" w:cs="Times New Roman"/>
          <w:sz w:val="24"/>
          <w:szCs w:val="24"/>
        </w:rPr>
        <w:t xml:space="preserve"> </w:t>
      </w:r>
    </w:p>
    <w:p w14:paraId="00954239" w14:textId="77777777" w:rsidR="001F6D26" w:rsidRPr="0028010E" w:rsidRDefault="001F6D26" w:rsidP="001F6D26">
      <w:pPr>
        <w:numPr>
          <w:ilvl w:val="0"/>
          <w:numId w:val="2"/>
        </w:numPr>
        <w:spacing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Coalición Acciones para el Cambio. Elementa DDHH y </w:t>
      </w:r>
      <w:proofErr w:type="spellStart"/>
      <w:r w:rsidRPr="0028010E">
        <w:rPr>
          <w:rFonts w:ascii="Times New Roman" w:eastAsia="Times New Roman" w:hAnsi="Times New Roman" w:cs="Times New Roman"/>
          <w:sz w:val="24"/>
          <w:szCs w:val="24"/>
        </w:rPr>
        <w:t>Dejusticia</w:t>
      </w:r>
      <w:proofErr w:type="spellEnd"/>
      <w:r w:rsidRPr="0028010E">
        <w:rPr>
          <w:rFonts w:ascii="Times New Roman" w:eastAsia="Times New Roman" w:hAnsi="Times New Roman" w:cs="Times New Roman"/>
          <w:sz w:val="24"/>
          <w:szCs w:val="24"/>
        </w:rPr>
        <w:t xml:space="preserve">. </w:t>
      </w:r>
      <w:r w:rsidRPr="0028010E">
        <w:rPr>
          <w:rFonts w:ascii="Times New Roman" w:eastAsia="Times New Roman" w:hAnsi="Times New Roman" w:cs="Times New Roman"/>
          <w:i/>
          <w:sz w:val="24"/>
          <w:szCs w:val="24"/>
        </w:rPr>
        <w:t>Principios para una regulación responsable del uso adulto del Cannabis en Colombia.</w:t>
      </w:r>
      <w:r w:rsidRPr="0028010E">
        <w:rPr>
          <w:rFonts w:ascii="Times New Roman" w:eastAsia="Times New Roman" w:hAnsi="Times New Roman" w:cs="Times New Roman"/>
          <w:sz w:val="24"/>
          <w:szCs w:val="24"/>
        </w:rPr>
        <w:t xml:space="preserve"> </w:t>
      </w:r>
      <w:hyperlink r:id="rId9">
        <w:r w:rsidRPr="0028010E">
          <w:rPr>
            <w:rFonts w:ascii="Times New Roman" w:eastAsia="Times New Roman" w:hAnsi="Times New Roman" w:cs="Times New Roman"/>
            <w:sz w:val="24"/>
            <w:szCs w:val="24"/>
            <w:u w:val="single"/>
          </w:rPr>
          <w:t>https://www.elementa.co/wp-content/uploads/2019/11/Principios-para-una-regulaci%C3%B3n-responsable-del-uso-adulto-del-cannabis-en-Colombia-digital.pdf</w:t>
        </w:r>
      </w:hyperlink>
      <w:r w:rsidRPr="0028010E">
        <w:rPr>
          <w:rFonts w:ascii="Times New Roman" w:eastAsia="Times New Roman" w:hAnsi="Times New Roman" w:cs="Times New Roman"/>
          <w:sz w:val="24"/>
          <w:szCs w:val="24"/>
        </w:rPr>
        <w:t xml:space="preserve"> </w:t>
      </w:r>
    </w:p>
    <w:p w14:paraId="2978F33E" w14:textId="09466581" w:rsidR="008F1632" w:rsidRPr="0028010E" w:rsidRDefault="001F6D26" w:rsidP="001F6D26">
      <w:pPr>
        <w:numPr>
          <w:ilvl w:val="0"/>
          <w:numId w:val="2"/>
        </w:numPr>
        <w:spacing w:after="240"/>
        <w:jc w:val="both"/>
        <w:rPr>
          <w:rFonts w:ascii="Times New Roman" w:eastAsia="Times New Roman" w:hAnsi="Times New Roman" w:cs="Times New Roman"/>
          <w:sz w:val="24"/>
          <w:szCs w:val="24"/>
        </w:rPr>
      </w:pPr>
      <w:r w:rsidRPr="0028010E">
        <w:rPr>
          <w:rFonts w:ascii="Times New Roman" w:eastAsia="Times New Roman" w:hAnsi="Times New Roman" w:cs="Times New Roman"/>
          <w:sz w:val="24"/>
          <w:szCs w:val="24"/>
        </w:rPr>
        <w:t xml:space="preserve">Rodríguez-Llach, Alejandro; Cruz Olivera, Luis Felipe, Pereira Arana, Isabel. </w:t>
      </w:r>
      <w:r w:rsidRPr="0028010E">
        <w:rPr>
          <w:rFonts w:ascii="Times New Roman" w:eastAsia="Times New Roman" w:hAnsi="Times New Roman" w:cs="Times New Roman"/>
          <w:i/>
          <w:sz w:val="24"/>
          <w:szCs w:val="24"/>
        </w:rPr>
        <w:t xml:space="preserve">Principios Fiscales </w:t>
      </w:r>
      <w:proofErr w:type="spellStart"/>
      <w:r w:rsidRPr="0028010E">
        <w:rPr>
          <w:rFonts w:ascii="Times New Roman" w:eastAsia="Times New Roman" w:hAnsi="Times New Roman" w:cs="Times New Roman"/>
          <w:i/>
          <w:sz w:val="24"/>
          <w:szCs w:val="24"/>
        </w:rPr>
        <w:t>Cannabicos</w:t>
      </w:r>
      <w:proofErr w:type="spellEnd"/>
      <w:r w:rsidRPr="0028010E">
        <w:rPr>
          <w:rFonts w:ascii="Times New Roman" w:eastAsia="Times New Roman" w:hAnsi="Times New Roman" w:cs="Times New Roman"/>
          <w:i/>
          <w:sz w:val="24"/>
          <w:szCs w:val="24"/>
        </w:rPr>
        <w:t xml:space="preserve">: Elementos para el debate regulatorio en Colombia. </w:t>
      </w:r>
      <w:proofErr w:type="spellStart"/>
      <w:r w:rsidRPr="0028010E">
        <w:rPr>
          <w:rFonts w:ascii="Times New Roman" w:eastAsia="Times New Roman" w:hAnsi="Times New Roman" w:cs="Times New Roman"/>
          <w:sz w:val="24"/>
          <w:szCs w:val="24"/>
        </w:rPr>
        <w:t>Dejusticia</w:t>
      </w:r>
      <w:proofErr w:type="spellEnd"/>
      <w:r w:rsidRPr="0028010E">
        <w:rPr>
          <w:rFonts w:ascii="Times New Roman" w:eastAsia="Times New Roman" w:hAnsi="Times New Roman" w:cs="Times New Roman"/>
          <w:sz w:val="24"/>
          <w:szCs w:val="24"/>
        </w:rPr>
        <w:t>. 2022.</w:t>
      </w:r>
    </w:p>
    <w:sectPr w:rsidR="008F1632" w:rsidRPr="0028010E">
      <w:headerReference w:type="default" r:id="rId10"/>
      <w:footerReference w:type="default" r:id="rId11"/>
      <w:headerReference w:type="first" r:id="rId12"/>
      <w:footerReference w:type="first" r:id="rId13"/>
      <w:pgSz w:w="11909" w:h="16834"/>
      <w:pgMar w:top="1440" w:right="1440" w:bottom="1440" w:left="1440" w:header="170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AC6F" w14:textId="77777777" w:rsidR="00C1014D" w:rsidRDefault="00C1014D" w:rsidP="001F6D26">
      <w:pPr>
        <w:spacing w:line="240" w:lineRule="auto"/>
      </w:pPr>
      <w:r>
        <w:separator/>
      </w:r>
    </w:p>
  </w:endnote>
  <w:endnote w:type="continuationSeparator" w:id="0">
    <w:p w14:paraId="78FCFBC5" w14:textId="77777777" w:rsidR="00C1014D" w:rsidRDefault="00C1014D" w:rsidP="001F6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397E" w14:textId="77777777" w:rsidR="00586938" w:rsidRDefault="00000000"/>
  <w:tbl>
    <w:tblPr>
      <w:tblW w:w="11880" w:type="dxa"/>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80"/>
    </w:tblGrid>
    <w:tr w:rsidR="00586938" w14:paraId="38910F4E" w14:textId="77777777">
      <w:trPr>
        <w:trHeight w:val="1500"/>
      </w:trPr>
      <w:tc>
        <w:tcPr>
          <w:tcW w:w="11880" w:type="dxa"/>
          <w:tcBorders>
            <w:top w:val="nil"/>
            <w:left w:val="nil"/>
            <w:bottom w:val="nil"/>
            <w:right w:val="nil"/>
          </w:tcBorders>
          <w:shd w:val="clear" w:color="auto" w:fill="40B392"/>
          <w:tcMar>
            <w:top w:w="100" w:type="dxa"/>
            <w:left w:w="100" w:type="dxa"/>
            <w:bottom w:w="100" w:type="dxa"/>
            <w:right w:w="100" w:type="dxa"/>
          </w:tcMar>
        </w:tcPr>
        <w:p w14:paraId="656E5749" w14:textId="77777777" w:rsidR="00586938" w:rsidRDefault="00000000">
          <w:pPr>
            <w:widowControl w:val="0"/>
            <w:pBdr>
              <w:top w:val="nil"/>
              <w:left w:val="nil"/>
              <w:bottom w:val="nil"/>
              <w:right w:val="nil"/>
              <w:between w:val="nil"/>
            </w:pBdr>
            <w:spacing w:line="240" w:lineRule="auto"/>
          </w:pPr>
        </w:p>
        <w:p w14:paraId="5517746B" w14:textId="77777777" w:rsidR="00586938" w:rsidRDefault="00000000">
          <w:pPr>
            <w:widowControl w:val="0"/>
            <w:pBdr>
              <w:top w:val="nil"/>
              <w:left w:val="nil"/>
              <w:bottom w:val="nil"/>
              <w:right w:val="nil"/>
              <w:between w:val="nil"/>
            </w:pBdr>
            <w:spacing w:line="240" w:lineRule="auto"/>
            <w:jc w:val="center"/>
          </w:pPr>
          <w:hyperlink r:id="rId1">
            <w:r>
              <w:rPr>
                <w:noProof/>
                <w:color w:val="1155CC"/>
                <w:u w:val="single"/>
              </w:rPr>
              <w:drawing>
                <wp:inline distT="114300" distB="114300" distL="114300" distR="114300" wp14:anchorId="3D8D04D5" wp14:editId="65FF34B8">
                  <wp:extent cx="468000" cy="4680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68000" cy="468000"/>
                          </a:xfrm>
                          <a:prstGeom prst="rect">
                            <a:avLst/>
                          </a:prstGeom>
                          <a:ln/>
                        </pic:spPr>
                      </pic:pic>
                    </a:graphicData>
                  </a:graphic>
                </wp:inline>
              </w:drawing>
            </w:r>
          </w:hyperlink>
          <w:hyperlink r:id="rId3">
            <w:r>
              <w:rPr>
                <w:noProof/>
                <w:color w:val="1155CC"/>
                <w:u w:val="single"/>
              </w:rPr>
              <w:drawing>
                <wp:inline distT="114300" distB="114300" distL="114300" distR="114300" wp14:anchorId="0A9672C7" wp14:editId="48BE0067">
                  <wp:extent cx="468033" cy="46803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468033" cy="468033"/>
                          </a:xfrm>
                          <a:prstGeom prst="rect">
                            <a:avLst/>
                          </a:prstGeom>
                          <a:ln/>
                        </pic:spPr>
                      </pic:pic>
                    </a:graphicData>
                  </a:graphic>
                </wp:inline>
              </w:drawing>
            </w:r>
          </w:hyperlink>
          <w:hyperlink r:id="rId5">
            <w:r>
              <w:rPr>
                <w:noProof/>
                <w:color w:val="1155CC"/>
                <w:u w:val="single"/>
              </w:rPr>
              <w:drawing>
                <wp:inline distT="114300" distB="114300" distL="114300" distR="114300" wp14:anchorId="3C224D87" wp14:editId="0B051348">
                  <wp:extent cx="468000" cy="468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68000" cy="468000"/>
                          </a:xfrm>
                          <a:prstGeom prst="rect">
                            <a:avLst/>
                          </a:prstGeom>
                          <a:ln/>
                        </pic:spPr>
                      </pic:pic>
                    </a:graphicData>
                  </a:graphic>
                </wp:inline>
              </w:drawing>
            </w:r>
          </w:hyperlink>
          <w:hyperlink r:id="rId7">
            <w:r>
              <w:rPr>
                <w:noProof/>
                <w:color w:val="1155CC"/>
                <w:u w:val="single"/>
              </w:rPr>
              <w:drawing>
                <wp:inline distT="114300" distB="114300" distL="114300" distR="114300" wp14:anchorId="5CC15F76" wp14:editId="01781573">
                  <wp:extent cx="468000" cy="4680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68000" cy="468000"/>
                          </a:xfrm>
                          <a:prstGeom prst="rect">
                            <a:avLst/>
                          </a:prstGeom>
                          <a:ln/>
                        </pic:spPr>
                      </pic:pic>
                    </a:graphicData>
                  </a:graphic>
                </wp:inline>
              </w:drawing>
            </w:r>
          </w:hyperlink>
        </w:p>
        <w:p w14:paraId="7FDA1218" w14:textId="77777777" w:rsidR="00586938" w:rsidRDefault="00000000">
          <w:pPr>
            <w:widowControl w:val="0"/>
            <w:pBdr>
              <w:top w:val="nil"/>
              <w:left w:val="nil"/>
              <w:bottom w:val="nil"/>
              <w:right w:val="nil"/>
              <w:between w:val="nil"/>
            </w:pBdr>
            <w:spacing w:line="240" w:lineRule="auto"/>
            <w:jc w:val="center"/>
            <w:rPr>
              <w:rFonts w:ascii="Roboto Medium" w:eastAsia="Roboto Medium" w:hAnsi="Roboto Medium" w:cs="Roboto Medium"/>
              <w:color w:val="FFFFFF"/>
            </w:rPr>
          </w:pPr>
          <w:hyperlink r:id="rId9">
            <w:r>
              <w:rPr>
                <w:rFonts w:ascii="Roboto Medium" w:eastAsia="Roboto Medium" w:hAnsi="Roboto Medium" w:cs="Roboto Medium"/>
                <w:color w:val="FFFFFF"/>
                <w:u w:val="single"/>
              </w:rPr>
              <w:t>www.elementaddhh.org</w:t>
            </w:r>
          </w:hyperlink>
        </w:p>
        <w:p w14:paraId="6BF53221" w14:textId="77777777" w:rsidR="00586938" w:rsidRDefault="00000000">
          <w:pPr>
            <w:widowControl w:val="0"/>
            <w:pBdr>
              <w:top w:val="nil"/>
              <w:left w:val="nil"/>
              <w:bottom w:val="nil"/>
              <w:right w:val="nil"/>
              <w:between w:val="nil"/>
            </w:pBdr>
            <w:spacing w:line="240" w:lineRule="auto"/>
          </w:pPr>
        </w:p>
      </w:tc>
    </w:tr>
  </w:tbl>
  <w:p w14:paraId="3004EBCB" w14:textId="77777777" w:rsidR="00586938"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EDD4" w14:textId="77777777" w:rsidR="0058693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0ECB" w14:textId="77777777" w:rsidR="00C1014D" w:rsidRDefault="00C1014D" w:rsidP="001F6D26">
      <w:pPr>
        <w:spacing w:line="240" w:lineRule="auto"/>
      </w:pPr>
      <w:r>
        <w:separator/>
      </w:r>
    </w:p>
  </w:footnote>
  <w:footnote w:type="continuationSeparator" w:id="0">
    <w:p w14:paraId="1700D58A" w14:textId="77777777" w:rsidR="00C1014D" w:rsidRDefault="00C1014D" w:rsidP="001F6D26">
      <w:pPr>
        <w:spacing w:line="240" w:lineRule="auto"/>
      </w:pPr>
      <w:r>
        <w:continuationSeparator/>
      </w:r>
    </w:p>
  </w:footnote>
  <w:footnote w:id="1">
    <w:p w14:paraId="7AB9D979" w14:textId="77777777" w:rsidR="001F6D26" w:rsidRDefault="001F6D26" w:rsidP="001F6D26">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Elementa DDHH es un equipo multidisciplinario y feminista que trabaja desde un enfoque socio-jurídico y político, para aportar a la construcción y fortalecimiento regional de los derechos humanos a través de nuestras sedes en Colombia y México. Ver más en: </w:t>
      </w:r>
      <w:hyperlink r:id="rId1">
        <w:r>
          <w:rPr>
            <w:rFonts w:ascii="Times New Roman" w:eastAsia="Times New Roman" w:hAnsi="Times New Roman" w:cs="Times New Roman"/>
            <w:color w:val="1155CC"/>
            <w:sz w:val="24"/>
            <w:szCs w:val="24"/>
            <w:u w:val="single"/>
          </w:rPr>
          <w:t>www.elementaddhh.org</w:t>
        </w:r>
      </w:hyperlink>
      <w:r>
        <w:rPr>
          <w:rFonts w:ascii="Times New Roman" w:eastAsia="Times New Roman" w:hAnsi="Times New Roman" w:cs="Times New Roman"/>
          <w:sz w:val="24"/>
          <w:szCs w:val="24"/>
        </w:rPr>
        <w:t xml:space="preserve"> </w:t>
      </w:r>
    </w:p>
  </w:footnote>
  <w:footnote w:id="2">
    <w:p w14:paraId="46D8EF5E" w14:textId="77777777" w:rsidR="001F6D26" w:rsidRDefault="001F6D26" w:rsidP="001F6D26">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La República. </w:t>
      </w:r>
      <w:r>
        <w:rPr>
          <w:rFonts w:ascii="Times New Roman" w:eastAsia="Times New Roman" w:hAnsi="Times New Roman" w:cs="Times New Roman"/>
          <w:i/>
          <w:color w:val="212529"/>
          <w:sz w:val="24"/>
          <w:szCs w:val="24"/>
          <w:highlight w:val="white"/>
        </w:rPr>
        <w:t xml:space="preserve">El cannabis recreativo ahora genera más millones que la cerveza artesanal en </w:t>
      </w:r>
      <w:proofErr w:type="gramStart"/>
      <w:r>
        <w:rPr>
          <w:rFonts w:ascii="Times New Roman" w:eastAsia="Times New Roman" w:hAnsi="Times New Roman" w:cs="Times New Roman"/>
          <w:i/>
          <w:color w:val="212529"/>
          <w:sz w:val="24"/>
          <w:szCs w:val="24"/>
          <w:highlight w:val="white"/>
        </w:rPr>
        <w:t>EE.UU.</w:t>
      </w:r>
      <w:proofErr w:type="gramEnd"/>
      <w:r>
        <w:rPr>
          <w:rFonts w:ascii="Times New Roman" w:eastAsia="Times New Roman" w:hAnsi="Times New Roman" w:cs="Times New Roman"/>
          <w:color w:val="212529"/>
          <w:sz w:val="24"/>
          <w:szCs w:val="24"/>
          <w:highlight w:val="white"/>
        </w:rPr>
        <w:t xml:space="preserve"> 2022. Tomado de: </w:t>
      </w:r>
      <w:r>
        <w:rPr>
          <w:rFonts w:ascii="Times New Roman" w:eastAsia="Times New Roman" w:hAnsi="Times New Roman" w:cs="Times New Roman"/>
          <w:color w:val="212529"/>
          <w:sz w:val="24"/>
          <w:szCs w:val="24"/>
        </w:rPr>
        <w:t>https://www.larepublica.co/consumo/el-cannabis-recreativo-ahora-genera-mas-millones-que-la-cerveza-artesanal-en-ee-uu-3342855</w:t>
      </w:r>
      <w:r>
        <w:rPr>
          <w:rFonts w:ascii="Times New Roman" w:eastAsia="Times New Roman" w:hAnsi="Times New Roman" w:cs="Times New Roman"/>
          <w:sz w:val="24"/>
          <w:szCs w:val="24"/>
        </w:rPr>
        <w:t xml:space="preserve"> </w:t>
      </w:r>
    </w:p>
  </w:footnote>
  <w:footnote w:id="3">
    <w:p w14:paraId="0B63BF18" w14:textId="77777777" w:rsidR="001F6D26" w:rsidRDefault="001F6D26" w:rsidP="001F6D26">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Forbes. </w:t>
      </w:r>
      <w:r>
        <w:rPr>
          <w:rFonts w:ascii="Times New Roman" w:eastAsia="Times New Roman" w:hAnsi="Times New Roman" w:cs="Times New Roman"/>
          <w:i/>
          <w:color w:val="333333"/>
          <w:sz w:val="24"/>
          <w:szCs w:val="24"/>
        </w:rPr>
        <w:t xml:space="preserve">New Cannabis Jobs </w:t>
      </w:r>
      <w:proofErr w:type="spellStart"/>
      <w:r>
        <w:rPr>
          <w:rFonts w:ascii="Times New Roman" w:eastAsia="Times New Roman" w:hAnsi="Times New Roman" w:cs="Times New Roman"/>
          <w:i/>
          <w:color w:val="333333"/>
          <w:sz w:val="24"/>
          <w:szCs w:val="24"/>
        </w:rPr>
        <w:t>Report</w:t>
      </w:r>
      <w:proofErr w:type="spellEnd"/>
      <w:r>
        <w:rPr>
          <w:rFonts w:ascii="Times New Roman" w:eastAsia="Times New Roman" w:hAnsi="Times New Roman" w:cs="Times New Roman"/>
          <w:i/>
          <w:color w:val="333333"/>
          <w:sz w:val="24"/>
          <w:szCs w:val="24"/>
        </w:rPr>
        <w:t xml:space="preserve"> </w:t>
      </w:r>
      <w:proofErr w:type="spellStart"/>
      <w:r>
        <w:rPr>
          <w:rFonts w:ascii="Times New Roman" w:eastAsia="Times New Roman" w:hAnsi="Times New Roman" w:cs="Times New Roman"/>
          <w:i/>
          <w:color w:val="333333"/>
          <w:sz w:val="24"/>
          <w:szCs w:val="24"/>
        </w:rPr>
        <w:t>Reveals</w:t>
      </w:r>
      <w:proofErr w:type="spellEnd"/>
      <w:r>
        <w:rPr>
          <w:rFonts w:ascii="Times New Roman" w:eastAsia="Times New Roman" w:hAnsi="Times New Roman" w:cs="Times New Roman"/>
          <w:i/>
          <w:color w:val="333333"/>
          <w:sz w:val="24"/>
          <w:szCs w:val="24"/>
        </w:rPr>
        <w:t xml:space="preserve"> Marijuana </w:t>
      </w:r>
      <w:proofErr w:type="spellStart"/>
      <w:r>
        <w:rPr>
          <w:rFonts w:ascii="Times New Roman" w:eastAsia="Times New Roman" w:hAnsi="Times New Roman" w:cs="Times New Roman"/>
          <w:i/>
          <w:color w:val="333333"/>
          <w:sz w:val="24"/>
          <w:szCs w:val="24"/>
        </w:rPr>
        <w:t>Industry’s</w:t>
      </w:r>
      <w:proofErr w:type="spellEnd"/>
      <w:r>
        <w:rPr>
          <w:rFonts w:ascii="Times New Roman" w:eastAsia="Times New Roman" w:hAnsi="Times New Roman" w:cs="Times New Roman"/>
          <w:i/>
          <w:color w:val="333333"/>
          <w:sz w:val="24"/>
          <w:szCs w:val="24"/>
        </w:rPr>
        <w:t xml:space="preserve"> Explosive </w:t>
      </w:r>
      <w:proofErr w:type="spellStart"/>
      <w:r>
        <w:rPr>
          <w:rFonts w:ascii="Times New Roman" w:eastAsia="Times New Roman" w:hAnsi="Times New Roman" w:cs="Times New Roman"/>
          <w:i/>
          <w:color w:val="333333"/>
          <w:sz w:val="24"/>
          <w:szCs w:val="24"/>
        </w:rPr>
        <w:t>Employment</w:t>
      </w:r>
      <w:proofErr w:type="spellEnd"/>
      <w:r>
        <w:rPr>
          <w:rFonts w:ascii="Times New Roman" w:eastAsia="Times New Roman" w:hAnsi="Times New Roman" w:cs="Times New Roman"/>
          <w:i/>
          <w:color w:val="333333"/>
          <w:sz w:val="24"/>
          <w:szCs w:val="24"/>
        </w:rPr>
        <w:t xml:space="preserve"> </w:t>
      </w:r>
      <w:proofErr w:type="spellStart"/>
      <w:r>
        <w:rPr>
          <w:rFonts w:ascii="Times New Roman" w:eastAsia="Times New Roman" w:hAnsi="Times New Roman" w:cs="Times New Roman"/>
          <w:i/>
          <w:color w:val="333333"/>
          <w:sz w:val="24"/>
          <w:szCs w:val="24"/>
        </w:rPr>
        <w:t>Growth</w:t>
      </w:r>
      <w:proofErr w:type="spellEnd"/>
      <w:r>
        <w:rPr>
          <w:rFonts w:ascii="Times New Roman" w:eastAsia="Times New Roman" w:hAnsi="Times New Roman" w:cs="Times New Roman"/>
          <w:i/>
          <w:color w:val="333333"/>
          <w:sz w:val="24"/>
          <w:szCs w:val="24"/>
        </w:rPr>
        <w:t>.</w:t>
      </w:r>
      <w:r>
        <w:rPr>
          <w:rFonts w:ascii="Times New Roman" w:eastAsia="Times New Roman" w:hAnsi="Times New Roman" w:cs="Times New Roman"/>
          <w:color w:val="333333"/>
          <w:sz w:val="24"/>
          <w:szCs w:val="24"/>
        </w:rPr>
        <w:t xml:space="preserve"> 2022. Tomado de: </w:t>
      </w:r>
      <w:hyperlink r:id="rId2">
        <w:r>
          <w:rPr>
            <w:rFonts w:ascii="Times New Roman" w:eastAsia="Times New Roman" w:hAnsi="Times New Roman" w:cs="Times New Roman"/>
            <w:color w:val="1155CC"/>
            <w:sz w:val="24"/>
            <w:szCs w:val="24"/>
            <w:u w:val="single"/>
          </w:rPr>
          <w:t>https://www.forbes.com/sites/ajherrington/2022/02/23/new-cannabis-jobs-report-reveals-marijuana-industrys-explosive-employment-growth/?sh=39ae22e423f2</w:t>
        </w:r>
      </w:hyperlink>
      <w:r>
        <w:rPr>
          <w:rFonts w:ascii="Times New Roman" w:eastAsia="Times New Roman" w:hAnsi="Times New Roman" w:cs="Times New Roman"/>
          <w:sz w:val="24"/>
          <w:szCs w:val="24"/>
        </w:rPr>
        <w:t xml:space="preserve">  </w:t>
      </w:r>
    </w:p>
  </w:footnote>
  <w:footnote w:id="4">
    <w:p w14:paraId="0CA6BC4F" w14:textId="77777777" w:rsidR="001F6D26" w:rsidRDefault="001F6D26" w:rsidP="001F6D26">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Portafolio.</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333333"/>
          <w:sz w:val="24"/>
          <w:szCs w:val="24"/>
        </w:rPr>
        <w:t xml:space="preserve">¿Por qué el auge del cultivo de marihuana legal en Colombia? </w:t>
      </w:r>
      <w:r>
        <w:rPr>
          <w:rFonts w:ascii="Times New Roman" w:eastAsia="Times New Roman" w:hAnsi="Times New Roman" w:cs="Times New Roman"/>
          <w:color w:val="333333"/>
          <w:sz w:val="24"/>
          <w:szCs w:val="24"/>
        </w:rPr>
        <w:t>Tomado de:</w:t>
      </w:r>
      <w:r>
        <w:rPr>
          <w:rFonts w:ascii="Times New Roman" w:eastAsia="Times New Roman" w:hAnsi="Times New Roman" w:cs="Times New Roman"/>
          <w:sz w:val="24"/>
          <w:szCs w:val="24"/>
        </w:rPr>
        <w:t xml:space="preserve"> </w:t>
      </w:r>
      <w:hyperlink r:id="rId3">
        <w:r>
          <w:rPr>
            <w:rFonts w:ascii="Times New Roman" w:eastAsia="Times New Roman" w:hAnsi="Times New Roman" w:cs="Times New Roman"/>
            <w:color w:val="0000FF"/>
            <w:sz w:val="24"/>
            <w:szCs w:val="24"/>
            <w:u w:val="single"/>
          </w:rPr>
          <w:t>https://www.portafolio.co/negocios/por-que-el-auge-del-cultivo-de-marihuana-legal-en-colombia-527893</w:t>
        </w:r>
      </w:hyperlink>
      <w:r>
        <w:rPr>
          <w:rFonts w:ascii="Times New Roman" w:eastAsia="Times New Roman" w:hAnsi="Times New Roman" w:cs="Times New Roman"/>
          <w:sz w:val="24"/>
          <w:szCs w:val="24"/>
        </w:rPr>
        <w:t xml:space="preserve"> </w:t>
      </w:r>
    </w:p>
  </w:footnote>
  <w:footnote w:id="5">
    <w:p w14:paraId="7392EC33" w14:textId="77777777" w:rsidR="001F6D26" w:rsidRDefault="001F6D26" w:rsidP="001F6D26">
      <w:r>
        <w:rPr>
          <w:vertAlign w:val="superscript"/>
        </w:rPr>
        <w:footnoteRef/>
      </w:r>
      <w:r>
        <w:t xml:space="preserve"> </w:t>
      </w:r>
      <w:proofErr w:type="spellStart"/>
      <w:r>
        <w:t>Meenakshi</w:t>
      </w:r>
      <w:proofErr w:type="spellEnd"/>
      <w:r>
        <w:t xml:space="preserve"> S. </w:t>
      </w:r>
      <w:proofErr w:type="spellStart"/>
      <w:r>
        <w:t>Subbaraman</w:t>
      </w:r>
      <w:proofErr w:type="spellEnd"/>
      <w:r>
        <w:t xml:space="preserve">, William C. Kerr. </w:t>
      </w:r>
      <w:proofErr w:type="spellStart"/>
      <w:r>
        <w:rPr>
          <w:i/>
        </w:rPr>
        <w:t>Subgroup</w:t>
      </w:r>
      <w:proofErr w:type="spellEnd"/>
      <w:r>
        <w:rPr>
          <w:i/>
        </w:rPr>
        <w:t xml:space="preserve"> </w:t>
      </w:r>
      <w:proofErr w:type="spellStart"/>
      <w:r>
        <w:rPr>
          <w:i/>
        </w:rPr>
        <w:t>trends</w:t>
      </w:r>
      <w:proofErr w:type="spellEnd"/>
      <w:r>
        <w:rPr>
          <w:i/>
        </w:rPr>
        <w:t xml:space="preserve"> in alcohol and cannabis </w:t>
      </w:r>
      <w:proofErr w:type="spellStart"/>
      <w:r>
        <w:rPr>
          <w:i/>
        </w:rPr>
        <w:t>co-use</w:t>
      </w:r>
      <w:proofErr w:type="spellEnd"/>
      <w:r>
        <w:rPr>
          <w:i/>
        </w:rPr>
        <w:t xml:space="preserve"> and </w:t>
      </w:r>
      <w:proofErr w:type="spellStart"/>
      <w:r>
        <w:rPr>
          <w:i/>
        </w:rPr>
        <w:t>related</w:t>
      </w:r>
      <w:proofErr w:type="spellEnd"/>
      <w:r>
        <w:rPr>
          <w:i/>
        </w:rPr>
        <w:t xml:space="preserve"> </w:t>
      </w:r>
      <w:proofErr w:type="spellStart"/>
      <w:r>
        <w:rPr>
          <w:i/>
        </w:rPr>
        <w:t>harms</w:t>
      </w:r>
      <w:proofErr w:type="spellEnd"/>
      <w:r>
        <w:rPr>
          <w:i/>
        </w:rPr>
        <w:t xml:space="preserve"> </w:t>
      </w:r>
      <w:proofErr w:type="spellStart"/>
      <w:r>
        <w:rPr>
          <w:i/>
        </w:rPr>
        <w:t>during</w:t>
      </w:r>
      <w:proofErr w:type="spellEnd"/>
      <w:r>
        <w:rPr>
          <w:i/>
        </w:rPr>
        <w:t xml:space="preserve"> </w:t>
      </w:r>
      <w:proofErr w:type="spellStart"/>
      <w:r>
        <w:rPr>
          <w:i/>
        </w:rPr>
        <w:t>the</w:t>
      </w:r>
      <w:proofErr w:type="spellEnd"/>
      <w:r>
        <w:rPr>
          <w:i/>
        </w:rPr>
        <w:t xml:space="preserve"> </w:t>
      </w:r>
      <w:proofErr w:type="spellStart"/>
      <w:r>
        <w:rPr>
          <w:i/>
        </w:rPr>
        <w:t>rollout</w:t>
      </w:r>
      <w:proofErr w:type="spellEnd"/>
      <w:r>
        <w:rPr>
          <w:i/>
        </w:rPr>
        <w:t xml:space="preserve"> </w:t>
      </w:r>
      <w:proofErr w:type="spellStart"/>
      <w:r>
        <w:rPr>
          <w:i/>
        </w:rPr>
        <w:t>of</w:t>
      </w:r>
      <w:proofErr w:type="spellEnd"/>
      <w:r>
        <w:rPr>
          <w:i/>
        </w:rPr>
        <w:t xml:space="preserve"> </w:t>
      </w:r>
      <w:proofErr w:type="spellStart"/>
      <w:r>
        <w:rPr>
          <w:i/>
        </w:rPr>
        <w:t>recreational</w:t>
      </w:r>
      <w:proofErr w:type="spellEnd"/>
      <w:r>
        <w:rPr>
          <w:i/>
        </w:rPr>
        <w:t xml:space="preserve"> cannabis </w:t>
      </w:r>
      <w:proofErr w:type="spellStart"/>
      <w:r>
        <w:rPr>
          <w:i/>
        </w:rPr>
        <w:t>legalization</w:t>
      </w:r>
      <w:proofErr w:type="spellEnd"/>
      <w:r>
        <w:rPr>
          <w:i/>
        </w:rPr>
        <w:t xml:space="preserve"> in Washington </w:t>
      </w:r>
      <w:proofErr w:type="spellStart"/>
      <w:r>
        <w:rPr>
          <w:i/>
        </w:rPr>
        <w:t>state</w:t>
      </w:r>
      <w:proofErr w:type="spellEnd"/>
      <w:r>
        <w:t xml:space="preserve">. International </w:t>
      </w:r>
      <w:proofErr w:type="spellStart"/>
      <w:r>
        <w:t>Journal</w:t>
      </w:r>
      <w:proofErr w:type="spellEnd"/>
      <w:r>
        <w:t xml:space="preserve"> </w:t>
      </w:r>
      <w:proofErr w:type="spellStart"/>
      <w:r>
        <w:t>of</w:t>
      </w:r>
      <w:proofErr w:type="spellEnd"/>
      <w:r>
        <w:t xml:space="preserve"> </w:t>
      </w:r>
      <w:proofErr w:type="spellStart"/>
      <w:r>
        <w:t>Drug</w:t>
      </w:r>
      <w:proofErr w:type="spellEnd"/>
      <w:r>
        <w:t xml:space="preserve"> </w:t>
      </w:r>
      <w:proofErr w:type="spellStart"/>
      <w:r>
        <w:t>Policy</w:t>
      </w:r>
      <w:proofErr w:type="spellEnd"/>
      <w:r>
        <w:t xml:space="preserve">, </w:t>
      </w:r>
      <w:proofErr w:type="spellStart"/>
      <w:r>
        <w:t>Volume</w:t>
      </w:r>
      <w:proofErr w:type="spellEnd"/>
      <w:r>
        <w:t xml:space="preserve"> 75, 2020. </w:t>
      </w:r>
      <w:hyperlink r:id="rId4">
        <w:r>
          <w:rPr>
            <w:color w:val="1155CC"/>
            <w:u w:val="single"/>
          </w:rPr>
          <w:t>https://doi.org/10.1016/j.drugpo.2019.07.003</w:t>
        </w:r>
      </w:hyperlink>
      <w:r>
        <w:t xml:space="preserve"> </w:t>
      </w:r>
    </w:p>
  </w:footnote>
  <w:footnote w:id="6">
    <w:p w14:paraId="667C67FF" w14:textId="77777777" w:rsidR="001F6D26" w:rsidRDefault="001F6D26" w:rsidP="001F6D26">
      <w:pPr>
        <w:spacing w:line="240" w:lineRule="auto"/>
        <w:rPr>
          <w:sz w:val="20"/>
          <w:szCs w:val="20"/>
        </w:rPr>
      </w:pPr>
      <w:r>
        <w:rPr>
          <w:vertAlign w:val="superscript"/>
        </w:rPr>
        <w:footnoteRef/>
      </w:r>
      <w:r>
        <w:rPr>
          <w:sz w:val="20"/>
          <w:szCs w:val="20"/>
        </w:rPr>
        <w:t xml:space="preserve"> </w:t>
      </w:r>
      <w:proofErr w:type="spellStart"/>
      <w:r>
        <w:rPr>
          <w:sz w:val="20"/>
          <w:szCs w:val="20"/>
        </w:rPr>
        <w:t>Becckett</w:t>
      </w:r>
      <w:proofErr w:type="spellEnd"/>
      <w:r>
        <w:rPr>
          <w:sz w:val="20"/>
          <w:szCs w:val="20"/>
        </w:rPr>
        <w:t xml:space="preserve">, Katherine y Herbert, Steve, </w:t>
      </w:r>
      <w:proofErr w:type="spellStart"/>
      <w:r>
        <w:rPr>
          <w:i/>
          <w:sz w:val="20"/>
          <w:szCs w:val="20"/>
        </w:rPr>
        <w:t>The</w:t>
      </w:r>
      <w:proofErr w:type="spellEnd"/>
      <w:r>
        <w:rPr>
          <w:i/>
          <w:sz w:val="20"/>
          <w:szCs w:val="20"/>
        </w:rPr>
        <w:t xml:space="preserve"> </w:t>
      </w:r>
      <w:proofErr w:type="spellStart"/>
      <w:r>
        <w:rPr>
          <w:i/>
          <w:sz w:val="20"/>
          <w:szCs w:val="20"/>
        </w:rPr>
        <w:t>consequences</w:t>
      </w:r>
      <w:proofErr w:type="spellEnd"/>
      <w:r>
        <w:rPr>
          <w:i/>
          <w:sz w:val="20"/>
          <w:szCs w:val="20"/>
        </w:rPr>
        <w:t xml:space="preserve"> and </w:t>
      </w:r>
      <w:proofErr w:type="spellStart"/>
      <w:r>
        <w:rPr>
          <w:i/>
          <w:sz w:val="20"/>
          <w:szCs w:val="20"/>
        </w:rPr>
        <w:t>costs</w:t>
      </w:r>
      <w:proofErr w:type="spellEnd"/>
      <w:r>
        <w:rPr>
          <w:i/>
          <w:sz w:val="20"/>
          <w:szCs w:val="20"/>
        </w:rPr>
        <w:t xml:space="preserve"> </w:t>
      </w:r>
      <w:proofErr w:type="spellStart"/>
      <w:r>
        <w:rPr>
          <w:i/>
          <w:sz w:val="20"/>
          <w:szCs w:val="20"/>
        </w:rPr>
        <w:t>of</w:t>
      </w:r>
      <w:proofErr w:type="spellEnd"/>
      <w:r>
        <w:rPr>
          <w:i/>
          <w:sz w:val="20"/>
          <w:szCs w:val="20"/>
        </w:rPr>
        <w:t xml:space="preserve"> marijuana </w:t>
      </w:r>
      <w:proofErr w:type="spellStart"/>
      <w:r>
        <w:rPr>
          <w:i/>
          <w:sz w:val="20"/>
          <w:szCs w:val="20"/>
        </w:rPr>
        <w:t>prohibition</w:t>
      </w:r>
      <w:proofErr w:type="spellEnd"/>
      <w:r>
        <w:rPr>
          <w:i/>
          <w:sz w:val="20"/>
          <w:szCs w:val="20"/>
        </w:rPr>
        <w:t xml:space="preserve">. </w:t>
      </w:r>
      <w:r>
        <w:rPr>
          <w:sz w:val="20"/>
          <w:szCs w:val="20"/>
        </w:rPr>
        <w:t>Tomado de: https://faculty.washington.edu/kbeckett/The%20Consequences%20and%20Costs%20of%20Marijuana%20Prohibition.pdf</w:t>
      </w:r>
    </w:p>
  </w:footnote>
  <w:footnote w:id="7">
    <w:p w14:paraId="4DAE8B0F" w14:textId="77777777" w:rsidR="001F6D26" w:rsidRDefault="001F6D26" w:rsidP="001F6D26">
      <w:pPr>
        <w:spacing w:line="240" w:lineRule="auto"/>
        <w:rPr>
          <w:sz w:val="20"/>
          <w:szCs w:val="20"/>
        </w:rPr>
      </w:pPr>
      <w:r>
        <w:rPr>
          <w:vertAlign w:val="superscript"/>
        </w:rPr>
        <w:footnoteRef/>
      </w:r>
      <w:r>
        <w:rPr>
          <w:sz w:val="20"/>
          <w:szCs w:val="20"/>
        </w:rPr>
        <w:t xml:space="preserve"> </w:t>
      </w:r>
      <w:proofErr w:type="spellStart"/>
      <w:r>
        <w:t>Meenakshi</w:t>
      </w:r>
      <w:proofErr w:type="spellEnd"/>
      <w:r>
        <w:t xml:space="preserve"> S. </w:t>
      </w:r>
      <w:proofErr w:type="spellStart"/>
      <w:r>
        <w:t>Subbaraman</w:t>
      </w:r>
      <w:proofErr w:type="spellEnd"/>
      <w:r>
        <w:t xml:space="preserve">, William C. Kerr. </w:t>
      </w:r>
      <w:proofErr w:type="spellStart"/>
      <w:r>
        <w:rPr>
          <w:i/>
        </w:rPr>
        <w:t>Subgroup</w:t>
      </w:r>
      <w:proofErr w:type="spellEnd"/>
      <w:r>
        <w:rPr>
          <w:i/>
        </w:rPr>
        <w:t xml:space="preserve"> </w:t>
      </w:r>
      <w:proofErr w:type="spellStart"/>
      <w:r>
        <w:rPr>
          <w:i/>
        </w:rPr>
        <w:t>trends</w:t>
      </w:r>
      <w:proofErr w:type="spellEnd"/>
      <w:r>
        <w:rPr>
          <w:i/>
        </w:rPr>
        <w:t xml:space="preserve"> in alcohol and cannabis </w:t>
      </w:r>
      <w:proofErr w:type="spellStart"/>
      <w:r>
        <w:rPr>
          <w:i/>
        </w:rPr>
        <w:t>co-use</w:t>
      </w:r>
      <w:proofErr w:type="spellEnd"/>
      <w:r>
        <w:rPr>
          <w:i/>
        </w:rPr>
        <w:t xml:space="preserve"> and </w:t>
      </w:r>
      <w:proofErr w:type="spellStart"/>
      <w:r>
        <w:rPr>
          <w:i/>
        </w:rPr>
        <w:t>related</w:t>
      </w:r>
      <w:proofErr w:type="spellEnd"/>
      <w:r>
        <w:rPr>
          <w:i/>
        </w:rPr>
        <w:t xml:space="preserve"> </w:t>
      </w:r>
      <w:proofErr w:type="spellStart"/>
      <w:r>
        <w:rPr>
          <w:i/>
        </w:rPr>
        <w:t>harms</w:t>
      </w:r>
      <w:proofErr w:type="spellEnd"/>
      <w:r>
        <w:rPr>
          <w:i/>
        </w:rPr>
        <w:t xml:space="preserve"> </w:t>
      </w:r>
      <w:proofErr w:type="spellStart"/>
      <w:r>
        <w:rPr>
          <w:i/>
        </w:rPr>
        <w:t>during</w:t>
      </w:r>
      <w:proofErr w:type="spellEnd"/>
      <w:r>
        <w:rPr>
          <w:i/>
        </w:rPr>
        <w:t xml:space="preserve"> </w:t>
      </w:r>
      <w:proofErr w:type="spellStart"/>
      <w:r>
        <w:rPr>
          <w:i/>
        </w:rPr>
        <w:t>the</w:t>
      </w:r>
      <w:proofErr w:type="spellEnd"/>
      <w:r>
        <w:rPr>
          <w:i/>
        </w:rPr>
        <w:t xml:space="preserve"> </w:t>
      </w:r>
      <w:proofErr w:type="spellStart"/>
      <w:r>
        <w:rPr>
          <w:i/>
        </w:rPr>
        <w:t>rollout</w:t>
      </w:r>
      <w:proofErr w:type="spellEnd"/>
      <w:r>
        <w:rPr>
          <w:i/>
        </w:rPr>
        <w:t xml:space="preserve"> </w:t>
      </w:r>
      <w:proofErr w:type="spellStart"/>
      <w:r>
        <w:rPr>
          <w:i/>
        </w:rPr>
        <w:t>of</w:t>
      </w:r>
      <w:proofErr w:type="spellEnd"/>
      <w:r>
        <w:rPr>
          <w:i/>
        </w:rPr>
        <w:t xml:space="preserve"> </w:t>
      </w:r>
      <w:proofErr w:type="spellStart"/>
      <w:r>
        <w:rPr>
          <w:i/>
        </w:rPr>
        <w:t>recreational</w:t>
      </w:r>
      <w:proofErr w:type="spellEnd"/>
      <w:r>
        <w:rPr>
          <w:i/>
        </w:rPr>
        <w:t xml:space="preserve"> cannabis </w:t>
      </w:r>
      <w:proofErr w:type="spellStart"/>
      <w:r>
        <w:rPr>
          <w:i/>
        </w:rPr>
        <w:t>legalization</w:t>
      </w:r>
      <w:proofErr w:type="spellEnd"/>
      <w:r>
        <w:rPr>
          <w:i/>
        </w:rPr>
        <w:t xml:space="preserve"> in Washington </w:t>
      </w:r>
      <w:proofErr w:type="spellStart"/>
      <w:r>
        <w:rPr>
          <w:i/>
        </w:rPr>
        <w:t>state</w:t>
      </w:r>
      <w:proofErr w:type="spellEnd"/>
      <w:r>
        <w:t xml:space="preserve">. International </w:t>
      </w:r>
      <w:proofErr w:type="spellStart"/>
      <w:r>
        <w:t>Journal</w:t>
      </w:r>
      <w:proofErr w:type="spellEnd"/>
      <w:r>
        <w:t xml:space="preserve"> </w:t>
      </w:r>
      <w:proofErr w:type="spellStart"/>
      <w:r>
        <w:t>of</w:t>
      </w:r>
      <w:proofErr w:type="spellEnd"/>
      <w:r>
        <w:t xml:space="preserve"> </w:t>
      </w:r>
      <w:proofErr w:type="spellStart"/>
      <w:r>
        <w:t>Drug</w:t>
      </w:r>
      <w:proofErr w:type="spellEnd"/>
      <w:r>
        <w:t xml:space="preserve"> </w:t>
      </w:r>
      <w:proofErr w:type="spellStart"/>
      <w:r>
        <w:t>Policy</w:t>
      </w:r>
      <w:proofErr w:type="spellEnd"/>
      <w:r>
        <w:t xml:space="preserve">, </w:t>
      </w:r>
      <w:proofErr w:type="spellStart"/>
      <w:r>
        <w:t>Volume</w:t>
      </w:r>
      <w:proofErr w:type="spellEnd"/>
      <w:r>
        <w:t xml:space="preserve"> 75, 2020. </w:t>
      </w:r>
      <w:hyperlink r:id="rId5">
        <w:r>
          <w:rPr>
            <w:color w:val="1155CC"/>
            <w:u w:val="single"/>
          </w:rPr>
          <w:t>https://doi.org/10.1016/j.drugpo.2019.07.003</w:t>
        </w:r>
      </w:hyperlink>
      <w:r>
        <w:t xml:space="preserve"> </w:t>
      </w:r>
    </w:p>
  </w:footnote>
  <w:footnote w:id="8">
    <w:p w14:paraId="3C19AE18" w14:textId="77777777" w:rsidR="001F6D26" w:rsidRDefault="001F6D26" w:rsidP="001F6D26">
      <w:pPr>
        <w:spacing w:line="240" w:lineRule="auto"/>
        <w:rPr>
          <w:sz w:val="20"/>
          <w:szCs w:val="20"/>
        </w:rPr>
      </w:pPr>
      <w:r>
        <w:rPr>
          <w:vertAlign w:val="superscript"/>
        </w:rPr>
        <w:footnoteRef/>
      </w:r>
      <w:r>
        <w:rPr>
          <w:sz w:val="20"/>
          <w:szCs w:val="20"/>
        </w:rPr>
        <w:t xml:space="preserve"> UPMC. </w:t>
      </w:r>
      <w:proofErr w:type="spellStart"/>
      <w:r>
        <w:rPr>
          <w:i/>
          <w:sz w:val="20"/>
          <w:szCs w:val="20"/>
        </w:rPr>
        <w:t>Legalized</w:t>
      </w:r>
      <w:proofErr w:type="spellEnd"/>
      <w:r>
        <w:rPr>
          <w:i/>
          <w:sz w:val="20"/>
          <w:szCs w:val="20"/>
        </w:rPr>
        <w:t xml:space="preserve"> Marijuana </w:t>
      </w:r>
      <w:proofErr w:type="spellStart"/>
      <w:r>
        <w:rPr>
          <w:i/>
          <w:sz w:val="20"/>
          <w:szCs w:val="20"/>
        </w:rPr>
        <w:t>Linked</w:t>
      </w:r>
      <w:proofErr w:type="spellEnd"/>
      <w:r>
        <w:rPr>
          <w:i/>
          <w:sz w:val="20"/>
          <w:szCs w:val="20"/>
        </w:rPr>
        <w:t xml:space="preserve"> </w:t>
      </w:r>
      <w:proofErr w:type="spellStart"/>
      <w:r>
        <w:rPr>
          <w:i/>
          <w:sz w:val="20"/>
          <w:szCs w:val="20"/>
        </w:rPr>
        <w:t>to</w:t>
      </w:r>
      <w:proofErr w:type="spellEnd"/>
      <w:r>
        <w:rPr>
          <w:i/>
          <w:sz w:val="20"/>
          <w:szCs w:val="20"/>
        </w:rPr>
        <w:t xml:space="preserve"> Decline in </w:t>
      </w:r>
      <w:proofErr w:type="spellStart"/>
      <w:r>
        <w:rPr>
          <w:i/>
          <w:sz w:val="20"/>
          <w:szCs w:val="20"/>
        </w:rPr>
        <w:t>Opioid</w:t>
      </w:r>
      <w:proofErr w:type="spellEnd"/>
      <w:r>
        <w:rPr>
          <w:i/>
          <w:sz w:val="20"/>
          <w:szCs w:val="20"/>
        </w:rPr>
        <w:t xml:space="preserve"> </w:t>
      </w:r>
      <w:proofErr w:type="spellStart"/>
      <w:r>
        <w:rPr>
          <w:i/>
          <w:sz w:val="20"/>
          <w:szCs w:val="20"/>
        </w:rPr>
        <w:t>Emergencies</w:t>
      </w:r>
      <w:proofErr w:type="spellEnd"/>
      <w:r>
        <w:rPr>
          <w:i/>
          <w:sz w:val="20"/>
          <w:szCs w:val="20"/>
        </w:rPr>
        <w:t xml:space="preserve">. </w:t>
      </w:r>
      <w:r>
        <w:rPr>
          <w:sz w:val="20"/>
          <w:szCs w:val="20"/>
        </w:rPr>
        <w:t xml:space="preserve">2021. Tomado de: </w:t>
      </w:r>
      <w:hyperlink r:id="rId6">
        <w:r>
          <w:rPr>
            <w:color w:val="1155CC"/>
            <w:sz w:val="20"/>
            <w:szCs w:val="20"/>
            <w:u w:val="single"/>
          </w:rPr>
          <w:t>https://www.upmc.com/media/news/071221-drake-cannabisrcl</w:t>
        </w:r>
      </w:hyperlink>
      <w:r>
        <w:rPr>
          <w:sz w:val="20"/>
          <w:szCs w:val="20"/>
        </w:rPr>
        <w:t xml:space="preserve"> y </w:t>
      </w:r>
      <w:proofErr w:type="spellStart"/>
      <w:r>
        <w:rPr>
          <w:sz w:val="20"/>
          <w:szCs w:val="20"/>
        </w:rPr>
        <w:t>Health</w:t>
      </w:r>
      <w:proofErr w:type="spellEnd"/>
      <w:r>
        <w:rPr>
          <w:sz w:val="20"/>
          <w:szCs w:val="20"/>
        </w:rPr>
        <w:t xml:space="preserve"> </w:t>
      </w:r>
      <w:proofErr w:type="spellStart"/>
      <w:r>
        <w:rPr>
          <w:sz w:val="20"/>
          <w:szCs w:val="20"/>
        </w:rPr>
        <w:t>Economic</w:t>
      </w:r>
      <w:proofErr w:type="spellEnd"/>
      <w:r>
        <w:rPr>
          <w:sz w:val="20"/>
          <w:szCs w:val="20"/>
        </w:rPr>
        <w:t xml:space="preserve"> </w:t>
      </w:r>
      <w:proofErr w:type="spellStart"/>
      <w:r>
        <w:rPr>
          <w:sz w:val="20"/>
          <w:szCs w:val="20"/>
        </w:rPr>
        <w:t>Letter</w:t>
      </w:r>
      <w:proofErr w:type="spellEnd"/>
      <w:r>
        <w:rPr>
          <w:sz w:val="20"/>
          <w:szCs w:val="20"/>
        </w:rPr>
        <w:t xml:space="preserve">. </w:t>
      </w:r>
      <w:proofErr w:type="spellStart"/>
      <w:r>
        <w:rPr>
          <w:i/>
          <w:sz w:val="20"/>
          <w:szCs w:val="20"/>
        </w:rPr>
        <w:t>Recreational</w:t>
      </w:r>
      <w:proofErr w:type="spellEnd"/>
      <w:r>
        <w:rPr>
          <w:i/>
          <w:sz w:val="20"/>
          <w:szCs w:val="20"/>
        </w:rPr>
        <w:t xml:space="preserve"> cannabis </w:t>
      </w:r>
      <w:proofErr w:type="spellStart"/>
      <w:r>
        <w:rPr>
          <w:i/>
          <w:sz w:val="20"/>
          <w:szCs w:val="20"/>
        </w:rPr>
        <w:t>laws</w:t>
      </w:r>
      <w:proofErr w:type="spellEnd"/>
      <w:r>
        <w:rPr>
          <w:i/>
          <w:sz w:val="20"/>
          <w:szCs w:val="20"/>
        </w:rPr>
        <w:t xml:space="preserve"> and </w:t>
      </w:r>
      <w:proofErr w:type="spellStart"/>
      <w:r>
        <w:rPr>
          <w:i/>
          <w:sz w:val="20"/>
          <w:szCs w:val="20"/>
        </w:rPr>
        <w:t>opioid-related</w:t>
      </w:r>
      <w:proofErr w:type="spellEnd"/>
      <w:r>
        <w:rPr>
          <w:i/>
          <w:sz w:val="20"/>
          <w:szCs w:val="20"/>
        </w:rPr>
        <w:t xml:space="preserve"> </w:t>
      </w:r>
      <w:proofErr w:type="spellStart"/>
      <w:r>
        <w:rPr>
          <w:i/>
          <w:sz w:val="20"/>
          <w:szCs w:val="20"/>
        </w:rPr>
        <w:t>emergency</w:t>
      </w:r>
      <w:proofErr w:type="spellEnd"/>
      <w:r>
        <w:rPr>
          <w:i/>
          <w:sz w:val="20"/>
          <w:szCs w:val="20"/>
        </w:rPr>
        <w:t xml:space="preserve"> </w:t>
      </w:r>
      <w:proofErr w:type="spellStart"/>
      <w:r>
        <w:rPr>
          <w:i/>
          <w:sz w:val="20"/>
          <w:szCs w:val="20"/>
        </w:rPr>
        <w:t>department</w:t>
      </w:r>
      <w:proofErr w:type="spellEnd"/>
      <w:r>
        <w:rPr>
          <w:i/>
          <w:sz w:val="20"/>
          <w:szCs w:val="20"/>
        </w:rPr>
        <w:t xml:space="preserve"> </w:t>
      </w:r>
      <w:proofErr w:type="spellStart"/>
      <w:r>
        <w:rPr>
          <w:i/>
          <w:sz w:val="20"/>
          <w:szCs w:val="20"/>
        </w:rPr>
        <w:t>visit</w:t>
      </w:r>
      <w:proofErr w:type="spellEnd"/>
      <w:r>
        <w:rPr>
          <w:i/>
          <w:sz w:val="20"/>
          <w:szCs w:val="20"/>
        </w:rPr>
        <w:t xml:space="preserve"> </w:t>
      </w:r>
      <w:proofErr w:type="spellStart"/>
      <w:r>
        <w:rPr>
          <w:i/>
          <w:sz w:val="20"/>
          <w:szCs w:val="20"/>
        </w:rPr>
        <w:t>rates</w:t>
      </w:r>
      <w:proofErr w:type="spellEnd"/>
      <w:r>
        <w:rPr>
          <w:i/>
          <w:sz w:val="20"/>
          <w:szCs w:val="20"/>
        </w:rPr>
        <w:t xml:space="preserve">. </w:t>
      </w:r>
      <w:r>
        <w:rPr>
          <w:sz w:val="20"/>
          <w:szCs w:val="20"/>
        </w:rPr>
        <w:t>2021. Tomado de:</w:t>
      </w:r>
      <w:r>
        <w:rPr>
          <w:i/>
          <w:sz w:val="20"/>
          <w:szCs w:val="20"/>
        </w:rPr>
        <w:t xml:space="preserve"> </w:t>
      </w:r>
      <w:hyperlink r:id="rId7">
        <w:r>
          <w:rPr>
            <w:color w:val="1155CC"/>
            <w:sz w:val="20"/>
            <w:szCs w:val="20"/>
            <w:u w:val="single"/>
          </w:rPr>
          <w:t>https://onlinelibrary.wiley.com/doi/abs/10.1002/hec.4377</w:t>
        </w:r>
      </w:hyperlink>
      <w:r>
        <w:rPr>
          <w:sz w:val="20"/>
          <w:szCs w:val="20"/>
        </w:rPr>
        <w:t xml:space="preserve"> </w:t>
      </w:r>
    </w:p>
  </w:footnote>
  <w:footnote w:id="9">
    <w:p w14:paraId="40389AEC" w14:textId="77777777" w:rsidR="001F6D26" w:rsidRDefault="001F6D26" w:rsidP="001F6D26">
      <w:pPr>
        <w:spacing w:line="240" w:lineRule="auto"/>
        <w:rPr>
          <w:sz w:val="20"/>
          <w:szCs w:val="20"/>
        </w:rPr>
      </w:pPr>
      <w:r>
        <w:rPr>
          <w:vertAlign w:val="superscript"/>
        </w:rPr>
        <w:footnoteRef/>
      </w:r>
      <w:r>
        <w:rPr>
          <w:sz w:val="20"/>
          <w:szCs w:val="20"/>
        </w:rPr>
        <w:t xml:space="preserve"> </w:t>
      </w:r>
      <w:hyperlink r:id="rId8">
        <w:r>
          <w:rPr>
            <w:color w:val="1155CC"/>
            <w:sz w:val="20"/>
            <w:szCs w:val="20"/>
            <w:u w:val="single"/>
          </w:rPr>
          <w:t>https://www.suin-juriscol.gov.co/viewDocument.asp?id=30039827</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1F28" w14:textId="77777777" w:rsidR="00586938" w:rsidRDefault="00000000">
    <w:pPr>
      <w:jc w:val="center"/>
    </w:pPr>
    <w:r>
      <w:rPr>
        <w:noProof/>
      </w:rPr>
      <w:drawing>
        <wp:anchor distT="0" distB="0" distL="114300" distR="114300" simplePos="0" relativeHeight="251659264" behindDoc="0" locked="0" layoutInCell="1" hidden="0" allowOverlap="1" wp14:anchorId="439A0DAD" wp14:editId="080B88D5">
          <wp:simplePos x="0" y="0"/>
          <wp:positionH relativeFrom="column">
            <wp:posOffset>2209800</wp:posOffset>
          </wp:positionH>
          <wp:positionV relativeFrom="paragraph">
            <wp:posOffset>-771524</wp:posOffset>
          </wp:positionV>
          <wp:extent cx="1198880" cy="74803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587" t="19158" r="13348" b="11955"/>
                  <a:stretch>
                    <a:fillRect/>
                  </a:stretch>
                </pic:blipFill>
                <pic:spPr>
                  <a:xfrm>
                    <a:off x="0" y="0"/>
                    <a:ext cx="1198880" cy="7480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9793" w14:textId="77777777" w:rsidR="0058693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627"/>
    <w:multiLevelType w:val="multilevel"/>
    <w:tmpl w:val="D4C4EF7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685250"/>
    <w:multiLevelType w:val="multilevel"/>
    <w:tmpl w:val="3898851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CC1BB6"/>
    <w:multiLevelType w:val="multilevel"/>
    <w:tmpl w:val="A2F06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023558">
    <w:abstractNumId w:val="2"/>
  </w:num>
  <w:num w:numId="2" w16cid:durableId="1972979862">
    <w:abstractNumId w:val="1"/>
  </w:num>
  <w:num w:numId="3" w16cid:durableId="142063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26"/>
    <w:rsid w:val="001F6D26"/>
    <w:rsid w:val="0028010E"/>
    <w:rsid w:val="008F1632"/>
    <w:rsid w:val="00C101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410C"/>
  <w15:chartTrackingRefBased/>
  <w15:docId w15:val="{F097B43E-5F27-4E44-B965-4EEC3F8D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26"/>
    <w:pPr>
      <w:spacing w:after="0" w:line="276" w:lineRule="auto"/>
    </w:pPr>
    <w:rPr>
      <w:rFonts w:ascii="Arial" w:eastAsia="Arial" w:hAnsi="Arial" w:cs="Arial"/>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justicia.org/publication/laberintos-de-prohibicion-y-regulacion-los-grises-de-la-marihuana-en-colomb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lementaddhh.org/radiografia-politica-de-drogas-en-colombia-2018-202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ementa.co/wp-content/uploads/2019/11/Principios-para-una-regulaci%C3%B3n-responsable-del-uso-adulto-del-cannabis-en-Colombia-digit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instagram.com/elementa_ddhh/" TargetMode="External"/><Relationship Id="rId7" Type="http://schemas.openxmlformats.org/officeDocument/2006/relationships/hyperlink" Target="https://twitter.com/ELEMENTADDHH" TargetMode="External"/><Relationship Id="rId2" Type="http://schemas.openxmlformats.org/officeDocument/2006/relationships/image" Target="media/image2.png"/><Relationship Id="rId1" Type="http://schemas.openxmlformats.org/officeDocument/2006/relationships/hyperlink" Target="https://www.facebook.com/ElementaDDHH" TargetMode="External"/><Relationship Id="rId6" Type="http://schemas.openxmlformats.org/officeDocument/2006/relationships/image" Target="media/image4.png"/><Relationship Id="rId5" Type="http://schemas.openxmlformats.org/officeDocument/2006/relationships/hyperlink" Target="https://co.linkedin.com/company/elementa-consultora-en-derechos" TargetMode="External"/><Relationship Id="rId4" Type="http://schemas.openxmlformats.org/officeDocument/2006/relationships/image" Target="media/image3.png"/><Relationship Id="rId9" Type="http://schemas.openxmlformats.org/officeDocument/2006/relationships/hyperlink" Target="http://www.elementaddhh.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uin-juriscol.gov.co/viewDocument.asp?id=30039827" TargetMode="External"/><Relationship Id="rId3" Type="http://schemas.openxmlformats.org/officeDocument/2006/relationships/hyperlink" Target="https://www.portafolio.co/negocios/por-que-el-auge-del-cultivo-de-marihuana-legal-en-colombia-527893" TargetMode="External"/><Relationship Id="rId7" Type="http://schemas.openxmlformats.org/officeDocument/2006/relationships/hyperlink" Target="https://onlinelibrary.wiley.com/doi/abs/10.1002/hec.4377" TargetMode="External"/><Relationship Id="rId2" Type="http://schemas.openxmlformats.org/officeDocument/2006/relationships/hyperlink" Target="https://www.forbes.com/sites/ajherrington/2022/02/23/new-cannabis-jobs-report-reveals-marijuana-industrys-explosive-employment-growth/?sh=39ae22e423f2" TargetMode="External"/><Relationship Id="rId1" Type="http://schemas.openxmlformats.org/officeDocument/2006/relationships/hyperlink" Target="http://www.elementaddhh.org" TargetMode="External"/><Relationship Id="rId6" Type="http://schemas.openxmlformats.org/officeDocument/2006/relationships/hyperlink" Target="https://www.upmc.com/media/news/071221-drake-cannabisrcl" TargetMode="External"/><Relationship Id="rId5" Type="http://schemas.openxmlformats.org/officeDocument/2006/relationships/hyperlink" Target="https://doi.org/10.1016/j.drugpo.2019.07.003" TargetMode="External"/><Relationship Id="rId4" Type="http://schemas.openxmlformats.org/officeDocument/2006/relationships/hyperlink" Target="https://doi.org/10.1016/j.drugpo.2019.07.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2243</Words>
  <Characters>12342</Characters>
  <Application>Microsoft Office Word</Application>
  <DocSecurity>0</DocSecurity>
  <Lines>102</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Forero</dc:creator>
  <cp:keywords/>
  <dc:description/>
  <cp:lastModifiedBy>Jorge Forero</cp:lastModifiedBy>
  <cp:revision>2</cp:revision>
  <dcterms:created xsi:type="dcterms:W3CDTF">2022-10-10T19:46:00Z</dcterms:created>
  <dcterms:modified xsi:type="dcterms:W3CDTF">2022-10-10T19:59:00Z</dcterms:modified>
</cp:coreProperties>
</file>